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C4DD8" w14:textId="32AE8A3A" w:rsidR="00E40F60" w:rsidRPr="00E40F60" w:rsidRDefault="00E40F60" w:rsidP="006E1AB7">
      <w:pPr>
        <w:pStyle w:val="Title"/>
        <w:rPr>
          <w:rFonts w:ascii="Segoe UI Light" w:eastAsia="Microsoft JhengHei UI Light" w:hAnsi="Segoe UI Light" w:cs="Segoe UI Light"/>
          <w:b/>
          <w:color w:val="385623" w:themeColor="accent6" w:themeShade="80"/>
          <w:sz w:val="44"/>
          <w:szCs w:val="44"/>
          <w:u w:val="single"/>
        </w:rPr>
      </w:pPr>
      <w:r w:rsidRPr="00E40F60">
        <w:rPr>
          <w:rFonts w:ascii="Segoe UI Light" w:eastAsia="Microsoft JhengHei UI Light" w:hAnsi="Segoe UI Light" w:cs="Segoe UI Light"/>
          <w:b/>
          <w:color w:val="385623" w:themeColor="accent6" w:themeShade="80"/>
          <w:sz w:val="44"/>
          <w:szCs w:val="44"/>
          <w:u w:val="single"/>
        </w:rPr>
        <w:t>Backgrounder</w:t>
      </w:r>
    </w:p>
    <w:p w14:paraId="577D5D2A" w14:textId="60DBEA13" w:rsidR="006E1AB7" w:rsidRPr="003043C7" w:rsidRDefault="00BE40A6" w:rsidP="006E1AB7">
      <w:pPr>
        <w:pStyle w:val="Title"/>
        <w:rPr>
          <w:rFonts w:eastAsia="SimSun"/>
        </w:rPr>
      </w:pPr>
      <w:r>
        <w:rPr>
          <w:rFonts w:eastAsia="SimSun"/>
        </w:rPr>
        <w:t xml:space="preserve">Join the campaign </w:t>
      </w:r>
      <w:r w:rsidR="002460BA">
        <w:rPr>
          <w:rFonts w:eastAsia="SimSun"/>
        </w:rPr>
        <w:t>for a more equitable police funding model</w:t>
      </w:r>
    </w:p>
    <w:p w14:paraId="32E0071B" w14:textId="77777777" w:rsidR="006E1AB7" w:rsidRDefault="006E1AB7" w:rsidP="006E1AB7"/>
    <w:p w14:paraId="484BC746" w14:textId="53FFBB84" w:rsidR="00FD449C" w:rsidRDefault="00FD449C" w:rsidP="003F2714">
      <w:r>
        <w:t xml:space="preserve">AUMA is calling on municipalities </w:t>
      </w:r>
      <w:r w:rsidR="002460BA">
        <w:t>across</w:t>
      </w:r>
      <w:r>
        <w:t xml:space="preserve"> </w:t>
      </w:r>
      <w:bookmarkStart w:id="0" w:name="_GoBack"/>
      <w:bookmarkEnd w:id="0"/>
      <w:r>
        <w:t xml:space="preserve">Alberta to join us in </w:t>
      </w:r>
      <w:r w:rsidR="00A47E48">
        <w:t>advocating</w:t>
      </w:r>
      <w:r w:rsidR="00584085">
        <w:t xml:space="preserve"> for the </w:t>
      </w:r>
      <w:r w:rsidR="00ED6F1A">
        <w:t xml:space="preserve">Government of Alberta </w:t>
      </w:r>
      <w:r w:rsidR="00584085">
        <w:t>to implement</w:t>
      </w:r>
      <w:r w:rsidR="00584085" w:rsidRPr="00584085">
        <w:t xml:space="preserve"> </w:t>
      </w:r>
      <w:r w:rsidR="002460BA">
        <w:t>a new, more equitable police funding model</w:t>
      </w:r>
      <w:r w:rsidR="00F072E3">
        <w:t>.</w:t>
      </w:r>
    </w:p>
    <w:p w14:paraId="168620B1" w14:textId="66F1087C" w:rsidR="002460BA" w:rsidRDefault="002460BA" w:rsidP="003F2714">
      <w:pPr>
        <w:pStyle w:val="Heading1"/>
        <w:numPr>
          <w:ilvl w:val="0"/>
          <w:numId w:val="0"/>
        </w:numPr>
      </w:pPr>
      <w:r>
        <w:t>Overview of current police funding</w:t>
      </w:r>
      <w:r w:rsidR="003F2714">
        <w:t xml:space="preserve"> model</w:t>
      </w:r>
    </w:p>
    <w:p w14:paraId="65B5DEA1" w14:textId="77777777" w:rsidR="002460BA" w:rsidRPr="00E0608F" w:rsidRDefault="002460BA" w:rsidP="003F2714">
      <w:pPr>
        <w:rPr>
          <w:rFonts w:ascii="Times New Roman" w:eastAsia="Times New Roman" w:hAnsi="Times New Roman" w:cs="Times New Roman"/>
          <w:b/>
          <w:sz w:val="24"/>
          <w:szCs w:val="24"/>
        </w:rPr>
      </w:pPr>
    </w:p>
    <w:p w14:paraId="555EA281" w14:textId="263211CE" w:rsidR="002460BA" w:rsidRPr="002460BA" w:rsidRDefault="002460BA" w:rsidP="003F2714">
      <w:pPr>
        <w:rPr>
          <w:rFonts w:eastAsia="Times New Roman" w:cs="Times New Roman"/>
        </w:rPr>
      </w:pPr>
      <w:r w:rsidRPr="002460BA">
        <w:rPr>
          <w:rFonts w:eastAsia="Times New Roman" w:cs="Times New Roman"/>
        </w:rPr>
        <w:t xml:space="preserve">Under the Police Act, the Alberta government is responsible for providing police services </w:t>
      </w:r>
      <w:r w:rsidR="0032775D">
        <w:rPr>
          <w:rFonts w:eastAsia="Times New Roman" w:cs="Times New Roman"/>
        </w:rPr>
        <w:t>to</w:t>
      </w:r>
      <w:r w:rsidRPr="002460BA">
        <w:rPr>
          <w:rFonts w:eastAsia="Times New Roman" w:cs="Times New Roman"/>
        </w:rPr>
        <w:t xml:space="preserve"> those municipalities with populations of 5,000 or less, </w:t>
      </w:r>
      <w:r w:rsidR="0032775D">
        <w:rPr>
          <w:rFonts w:eastAsia="Times New Roman" w:cs="Times New Roman"/>
        </w:rPr>
        <w:t xml:space="preserve">as well as </w:t>
      </w:r>
      <w:r w:rsidRPr="002460BA">
        <w:rPr>
          <w:rFonts w:eastAsia="Times New Roman" w:cs="Times New Roman"/>
        </w:rPr>
        <w:t xml:space="preserve">to all municipal districts and counties, at no direct cost to them. The province meets this obligation by contracting the RCMP </w:t>
      </w:r>
      <w:r w:rsidR="0032775D">
        <w:rPr>
          <w:rFonts w:eastAsia="Times New Roman" w:cs="Times New Roman"/>
        </w:rPr>
        <w:t xml:space="preserve">to police these communities </w:t>
      </w:r>
      <w:r w:rsidRPr="002460BA">
        <w:rPr>
          <w:rFonts w:eastAsia="Times New Roman" w:cs="Times New Roman"/>
        </w:rPr>
        <w:t xml:space="preserve">through the Provincial Police Service Agreement (PPSA), signed </w:t>
      </w:r>
      <w:r w:rsidR="0032775D">
        <w:rPr>
          <w:rFonts w:eastAsia="Times New Roman" w:cs="Times New Roman"/>
        </w:rPr>
        <w:t>by</w:t>
      </w:r>
      <w:r w:rsidRPr="002460BA">
        <w:rPr>
          <w:rFonts w:eastAsia="Times New Roman" w:cs="Times New Roman"/>
        </w:rPr>
        <w:t xml:space="preserve"> the Alberta and federal governments. Under the PPSA, the province is responsible for 70 per cent of the cost of policing</w:t>
      </w:r>
      <w:r w:rsidR="0032775D">
        <w:rPr>
          <w:rFonts w:eastAsia="Times New Roman" w:cs="Times New Roman"/>
        </w:rPr>
        <w:t>,</w:t>
      </w:r>
      <w:r w:rsidRPr="002460BA">
        <w:rPr>
          <w:rFonts w:eastAsia="Times New Roman" w:cs="Times New Roman"/>
        </w:rPr>
        <w:t xml:space="preserve"> while the federal government pays 30 per cent. The PPSA also provides police services to Métis settlements, and to First Nations communities where other policing arrangements have not been made.</w:t>
      </w:r>
    </w:p>
    <w:p w14:paraId="2A8D07CE" w14:textId="77777777" w:rsidR="002460BA" w:rsidRPr="002460BA" w:rsidRDefault="002460BA" w:rsidP="003F2714">
      <w:pPr>
        <w:rPr>
          <w:rFonts w:eastAsia="Times New Roman" w:cs="Times New Roman"/>
        </w:rPr>
      </w:pPr>
    </w:p>
    <w:p w14:paraId="7F71349C" w14:textId="77777777" w:rsidR="002460BA" w:rsidRPr="002460BA" w:rsidRDefault="002460BA" w:rsidP="003F2714">
      <w:pPr>
        <w:rPr>
          <w:rFonts w:eastAsia="Times New Roman" w:cs="Times New Roman"/>
        </w:rPr>
      </w:pPr>
      <w:r w:rsidRPr="002460BA">
        <w:rPr>
          <w:rFonts w:eastAsia="Times New Roman" w:cs="Times New Roman"/>
        </w:rPr>
        <w:t>Some urban municipalities with populations of 5,000 or less have contracted the RCMP for enhanced policing to deal with special situations, or have either by themselves or in cooperation with other municipalities retained Peace Officers to provide an additional policing presence in their communities</w:t>
      </w:r>
    </w:p>
    <w:p w14:paraId="34FC4F84" w14:textId="77777777" w:rsidR="002460BA" w:rsidRPr="002460BA" w:rsidRDefault="002460BA" w:rsidP="003F2714">
      <w:pPr>
        <w:rPr>
          <w:rFonts w:eastAsia="Times New Roman" w:cs="Times New Roman"/>
        </w:rPr>
      </w:pPr>
    </w:p>
    <w:p w14:paraId="7C247AA8" w14:textId="77777777" w:rsidR="002460BA" w:rsidRPr="002460BA" w:rsidRDefault="002460BA" w:rsidP="003F2714">
      <w:pPr>
        <w:rPr>
          <w:rFonts w:eastAsia="Times New Roman" w:cs="Times New Roman"/>
        </w:rPr>
      </w:pPr>
      <w:r w:rsidRPr="002460BA">
        <w:rPr>
          <w:rFonts w:eastAsia="Times New Roman" w:cs="Times New Roman"/>
        </w:rPr>
        <w:t>Urban municipalities with populations over 5,000 have three options for providing police services in their communities:</w:t>
      </w:r>
    </w:p>
    <w:p w14:paraId="1E82702D" w14:textId="1F5FBB3A" w:rsidR="002460BA" w:rsidRPr="002460BA" w:rsidRDefault="0032775D" w:rsidP="003F2714">
      <w:pPr>
        <w:numPr>
          <w:ilvl w:val="0"/>
          <w:numId w:val="35"/>
        </w:numPr>
        <w:contextualSpacing/>
        <w:rPr>
          <w:rFonts w:eastAsia="Times New Roman" w:cs="Times New Roman"/>
        </w:rPr>
      </w:pPr>
      <w:r>
        <w:rPr>
          <w:rFonts w:eastAsia="Times New Roman" w:cs="Times New Roman"/>
        </w:rPr>
        <w:t>Develop a c</w:t>
      </w:r>
      <w:r w:rsidR="002460BA" w:rsidRPr="002460BA">
        <w:rPr>
          <w:rFonts w:eastAsia="Times New Roman" w:cs="Times New Roman"/>
        </w:rPr>
        <w:t xml:space="preserve">ontract </w:t>
      </w:r>
      <w:r>
        <w:rPr>
          <w:rFonts w:eastAsia="Times New Roman" w:cs="Times New Roman"/>
        </w:rPr>
        <w:t xml:space="preserve">with </w:t>
      </w:r>
      <w:r w:rsidR="002460BA" w:rsidRPr="002460BA">
        <w:rPr>
          <w:rFonts w:eastAsia="Times New Roman" w:cs="Times New Roman"/>
        </w:rPr>
        <w:t>the federal or provincial government or another municipality for the provision of policing services;</w:t>
      </w:r>
    </w:p>
    <w:p w14:paraId="0D162C77" w14:textId="77777777" w:rsidR="002460BA" w:rsidRPr="002460BA" w:rsidRDefault="002460BA" w:rsidP="003F2714">
      <w:pPr>
        <w:numPr>
          <w:ilvl w:val="0"/>
          <w:numId w:val="35"/>
        </w:numPr>
        <w:contextualSpacing/>
        <w:rPr>
          <w:rFonts w:eastAsia="Times New Roman" w:cs="Times New Roman"/>
        </w:rPr>
      </w:pPr>
      <w:r w:rsidRPr="002460BA">
        <w:rPr>
          <w:rFonts w:eastAsia="Times New Roman" w:cs="Times New Roman"/>
        </w:rPr>
        <w:t>Establish a stand-alone municipal police service; or</w:t>
      </w:r>
    </w:p>
    <w:p w14:paraId="26B49AF6" w14:textId="77777777" w:rsidR="002460BA" w:rsidRPr="002460BA" w:rsidRDefault="002460BA" w:rsidP="003F2714">
      <w:pPr>
        <w:numPr>
          <w:ilvl w:val="0"/>
          <w:numId w:val="35"/>
        </w:numPr>
        <w:contextualSpacing/>
        <w:rPr>
          <w:rFonts w:eastAsia="Times New Roman" w:cs="Times New Roman"/>
        </w:rPr>
      </w:pPr>
      <w:r w:rsidRPr="002460BA">
        <w:rPr>
          <w:rFonts w:eastAsia="Times New Roman" w:cs="Times New Roman"/>
        </w:rPr>
        <w:t>Establish a regional police service with other municipalities, which may include the province.</w:t>
      </w:r>
    </w:p>
    <w:p w14:paraId="79A99F03" w14:textId="77777777" w:rsidR="002460BA" w:rsidRPr="002460BA" w:rsidRDefault="002460BA" w:rsidP="003F2714">
      <w:pPr>
        <w:ind w:left="720"/>
        <w:contextualSpacing/>
        <w:rPr>
          <w:rFonts w:eastAsia="Times New Roman" w:cs="Times New Roman"/>
        </w:rPr>
      </w:pPr>
    </w:p>
    <w:p w14:paraId="7B463983" w14:textId="6DDC9C81" w:rsidR="002460BA" w:rsidRDefault="002460BA" w:rsidP="003F2714">
      <w:pPr>
        <w:rPr>
          <w:rFonts w:eastAsia="Times New Roman" w:cs="Times New Roman"/>
        </w:rPr>
      </w:pPr>
      <w:r w:rsidRPr="002460BA">
        <w:rPr>
          <w:rFonts w:eastAsia="Times New Roman" w:cs="Times New Roman"/>
        </w:rPr>
        <w:t xml:space="preserve">The most common municipal policing arrangement in Alberta is the use of contract policing. Under this arrangement, the RCMP provides policing services to a municipality </w:t>
      </w:r>
      <w:r w:rsidR="0032775D">
        <w:rPr>
          <w:rFonts w:eastAsia="Times New Roman" w:cs="Times New Roman"/>
        </w:rPr>
        <w:t>through</w:t>
      </w:r>
      <w:r w:rsidRPr="002460BA">
        <w:rPr>
          <w:rFonts w:eastAsia="Times New Roman" w:cs="Times New Roman"/>
        </w:rPr>
        <w:t xml:space="preserve"> the Municipal Police Service Agreement (MPSA). Under an MPSA, a proportion of the costs of policing are borne by the federal government, depending on the size of the municipality’s population as shown in the</w:t>
      </w:r>
      <w:r w:rsidR="003F2714">
        <w:rPr>
          <w:rFonts w:eastAsia="Times New Roman" w:cs="Times New Roman"/>
        </w:rPr>
        <w:t xml:space="preserve"> following table.</w:t>
      </w:r>
    </w:p>
    <w:p w14:paraId="000385FB" w14:textId="77777777" w:rsidR="003F2714" w:rsidRDefault="003F2714" w:rsidP="003F2714">
      <w:pPr>
        <w:rPr>
          <w:rFonts w:eastAsia="Times New Roman" w:cs="Times New Roman"/>
        </w:rPr>
      </w:pPr>
    </w:p>
    <w:p w14:paraId="4B6FA000" w14:textId="77777777" w:rsidR="003F2714" w:rsidRDefault="003F2714" w:rsidP="003F2714">
      <w:pPr>
        <w:rPr>
          <w:rFonts w:eastAsia="Times New Roman" w:cs="Times New Roman"/>
        </w:rPr>
      </w:pPr>
    </w:p>
    <w:p w14:paraId="1459EBA5" w14:textId="77777777" w:rsidR="003F2714" w:rsidRDefault="003F2714" w:rsidP="002460BA">
      <w:pPr>
        <w:rPr>
          <w:rFonts w:eastAsia="Times New Roman" w:cs="Times New Roman"/>
        </w:rPr>
      </w:pPr>
    </w:p>
    <w:p w14:paraId="58B1C752" w14:textId="77777777" w:rsidR="003F2714" w:rsidRDefault="003F2714" w:rsidP="002460BA">
      <w:pPr>
        <w:rPr>
          <w:rFonts w:eastAsia="Times New Roman" w:cs="Times New Roman"/>
        </w:rPr>
      </w:pPr>
    </w:p>
    <w:p w14:paraId="37387F57" w14:textId="77777777" w:rsidR="003F2714" w:rsidRDefault="003F2714" w:rsidP="002460BA">
      <w:pPr>
        <w:rPr>
          <w:rFonts w:eastAsia="Times New Roman" w:cs="Times New Roman"/>
        </w:rPr>
      </w:pPr>
    </w:p>
    <w:p w14:paraId="0D79EB53" w14:textId="77777777" w:rsidR="003F2714" w:rsidRDefault="003F2714" w:rsidP="002460BA">
      <w:pPr>
        <w:rPr>
          <w:rFonts w:eastAsia="Times New Roman" w:cs="Times New Roman"/>
        </w:rPr>
      </w:pPr>
    </w:p>
    <w:p w14:paraId="194583E8" w14:textId="77777777" w:rsidR="003F2714" w:rsidRDefault="003F2714" w:rsidP="002460BA">
      <w:pPr>
        <w:rPr>
          <w:rFonts w:eastAsia="Times New Roman" w:cs="Times New Roman"/>
        </w:rPr>
      </w:pPr>
    </w:p>
    <w:p w14:paraId="1AE209F7" w14:textId="77777777" w:rsidR="003F2714" w:rsidRPr="002460BA" w:rsidRDefault="003F2714" w:rsidP="002460BA">
      <w:pPr>
        <w:rPr>
          <w:rFonts w:eastAsia="Times New Roman" w:cs="Times New Roman"/>
        </w:rPr>
      </w:pPr>
    </w:p>
    <w:p w14:paraId="5019475B" w14:textId="77777777" w:rsidR="002460BA" w:rsidRPr="002460BA" w:rsidRDefault="002460BA" w:rsidP="002460BA">
      <w:pPr>
        <w:rPr>
          <w:rFonts w:eastAsia="Times New Roman" w:cs="Times New Roman"/>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816"/>
        <w:gridCol w:w="3937"/>
        <w:gridCol w:w="3937"/>
      </w:tblGrid>
      <w:tr w:rsidR="002460BA" w:rsidRPr="002460BA" w14:paraId="2BAED99F" w14:textId="77777777" w:rsidTr="002460BA">
        <w:trPr>
          <w:trHeight w:val="623"/>
        </w:trPr>
        <w:tc>
          <w:tcPr>
            <w:tcW w:w="1816" w:type="dxa"/>
            <w:tcMar>
              <w:top w:w="150" w:type="dxa"/>
              <w:left w:w="150" w:type="dxa"/>
              <w:bottom w:w="150" w:type="dxa"/>
              <w:right w:w="150" w:type="dxa"/>
            </w:tcMar>
            <w:vAlign w:val="center"/>
            <w:hideMark/>
          </w:tcPr>
          <w:p w14:paraId="74D35622" w14:textId="77777777" w:rsidR="002460BA" w:rsidRPr="002460BA" w:rsidRDefault="002460BA" w:rsidP="00625234">
            <w:pPr>
              <w:spacing w:after="240"/>
              <w:ind w:left="-43"/>
              <w:rPr>
                <w:rFonts w:eastAsia="Times New Roman" w:cs="Times New Roman"/>
                <w:color w:val="000000"/>
              </w:rPr>
            </w:pPr>
            <w:r w:rsidRPr="002460BA">
              <w:rPr>
                <w:rFonts w:eastAsia="Times New Roman" w:cs="Times New Roman"/>
                <w:b/>
                <w:bCs/>
                <w:color w:val="000000"/>
              </w:rPr>
              <w:t>Municipal Population</w:t>
            </w:r>
          </w:p>
        </w:tc>
        <w:tc>
          <w:tcPr>
            <w:tcW w:w="3937" w:type="dxa"/>
            <w:tcMar>
              <w:top w:w="150" w:type="dxa"/>
              <w:left w:w="150" w:type="dxa"/>
              <w:bottom w:w="150" w:type="dxa"/>
              <w:right w:w="150" w:type="dxa"/>
            </w:tcMar>
            <w:vAlign w:val="center"/>
            <w:hideMark/>
          </w:tcPr>
          <w:p w14:paraId="6A9C3BA7" w14:textId="77777777" w:rsidR="002460BA" w:rsidRPr="002460BA" w:rsidRDefault="002460BA" w:rsidP="00625234">
            <w:pPr>
              <w:spacing w:after="240"/>
              <w:ind w:left="-43"/>
              <w:rPr>
                <w:rFonts w:eastAsia="Times New Roman" w:cs="Times New Roman"/>
                <w:color w:val="000000"/>
              </w:rPr>
            </w:pPr>
            <w:r w:rsidRPr="002460BA">
              <w:rPr>
                <w:rFonts w:eastAsia="Times New Roman" w:cs="Times New Roman"/>
                <w:b/>
                <w:bCs/>
                <w:color w:val="000000"/>
              </w:rPr>
              <w:t>Policing Arrangement</w:t>
            </w:r>
          </w:p>
        </w:tc>
        <w:tc>
          <w:tcPr>
            <w:tcW w:w="3937" w:type="dxa"/>
            <w:tcMar>
              <w:top w:w="150" w:type="dxa"/>
              <w:left w:w="150" w:type="dxa"/>
              <w:bottom w:w="150" w:type="dxa"/>
              <w:right w:w="150" w:type="dxa"/>
            </w:tcMar>
            <w:vAlign w:val="center"/>
            <w:hideMark/>
          </w:tcPr>
          <w:p w14:paraId="06A965B1" w14:textId="77777777" w:rsidR="002460BA" w:rsidRPr="002460BA" w:rsidRDefault="002460BA" w:rsidP="00625234">
            <w:pPr>
              <w:spacing w:after="240"/>
              <w:ind w:left="-43"/>
              <w:rPr>
                <w:rFonts w:eastAsia="Times New Roman" w:cs="Times New Roman"/>
                <w:color w:val="000000"/>
              </w:rPr>
            </w:pPr>
            <w:r w:rsidRPr="002460BA">
              <w:rPr>
                <w:rFonts w:eastAsia="Times New Roman" w:cs="Times New Roman"/>
                <w:b/>
                <w:bCs/>
                <w:color w:val="000000"/>
              </w:rPr>
              <w:t>Municipal Responsibility for Policing Costs</w:t>
            </w:r>
          </w:p>
        </w:tc>
      </w:tr>
      <w:tr w:rsidR="002460BA" w:rsidRPr="002460BA" w14:paraId="197D99AA" w14:textId="77777777" w:rsidTr="0032775D">
        <w:trPr>
          <w:trHeight w:val="1190"/>
        </w:trPr>
        <w:tc>
          <w:tcPr>
            <w:tcW w:w="1816" w:type="dxa"/>
            <w:tcMar>
              <w:top w:w="150" w:type="dxa"/>
              <w:left w:w="150" w:type="dxa"/>
              <w:bottom w:w="150" w:type="dxa"/>
              <w:right w:w="150" w:type="dxa"/>
            </w:tcMar>
            <w:vAlign w:val="center"/>
            <w:hideMark/>
          </w:tcPr>
          <w:p w14:paraId="6DDF6394" w14:textId="6CB55061" w:rsidR="002460BA" w:rsidRPr="002460BA" w:rsidRDefault="00E40F60" w:rsidP="00625234">
            <w:pPr>
              <w:spacing w:after="240"/>
              <w:ind w:left="-43"/>
              <w:rPr>
                <w:rFonts w:eastAsia="Times New Roman" w:cs="Times New Roman"/>
                <w:color w:val="000000"/>
              </w:rPr>
            </w:pPr>
            <w:r>
              <w:rPr>
                <w:rFonts w:eastAsia="Times New Roman" w:cs="Times New Roman"/>
                <w:color w:val="000000"/>
              </w:rPr>
              <w:t xml:space="preserve">Over </w:t>
            </w:r>
            <w:r w:rsidR="002460BA" w:rsidRPr="002460BA">
              <w:rPr>
                <w:rFonts w:eastAsia="Times New Roman" w:cs="Times New Roman"/>
                <w:color w:val="000000"/>
              </w:rPr>
              <w:t>5,000</w:t>
            </w:r>
            <w:r>
              <w:rPr>
                <w:rFonts w:eastAsia="Times New Roman" w:cs="Times New Roman"/>
                <w:color w:val="000000"/>
              </w:rPr>
              <w:t xml:space="preserve"> </w:t>
            </w:r>
          </w:p>
        </w:tc>
        <w:tc>
          <w:tcPr>
            <w:tcW w:w="3937" w:type="dxa"/>
            <w:tcMar>
              <w:top w:w="150" w:type="dxa"/>
              <w:left w:w="150" w:type="dxa"/>
              <w:bottom w:w="150" w:type="dxa"/>
              <w:right w:w="150" w:type="dxa"/>
            </w:tcMar>
            <w:vAlign w:val="center"/>
            <w:hideMark/>
          </w:tcPr>
          <w:p w14:paraId="2DFC1529" w14:textId="77777777" w:rsidR="002460BA" w:rsidRPr="002460BA" w:rsidRDefault="002460BA" w:rsidP="00625234">
            <w:pPr>
              <w:spacing w:after="240"/>
              <w:ind w:left="-43"/>
              <w:rPr>
                <w:rFonts w:eastAsia="Times New Roman" w:cs="Times New Roman"/>
                <w:color w:val="000000"/>
              </w:rPr>
            </w:pPr>
            <w:r w:rsidRPr="002460BA">
              <w:rPr>
                <w:rFonts w:eastAsia="Times New Roman" w:cs="Times New Roman"/>
                <w:color w:val="000000"/>
              </w:rPr>
              <w:t>Stand-alone or regional municipal police service</w:t>
            </w:r>
          </w:p>
        </w:tc>
        <w:tc>
          <w:tcPr>
            <w:tcW w:w="3937" w:type="dxa"/>
            <w:tcMar>
              <w:top w:w="150" w:type="dxa"/>
              <w:left w:w="150" w:type="dxa"/>
              <w:bottom w:w="150" w:type="dxa"/>
              <w:right w:w="150" w:type="dxa"/>
            </w:tcMar>
            <w:vAlign w:val="center"/>
            <w:hideMark/>
          </w:tcPr>
          <w:p w14:paraId="3AC48B0E" w14:textId="77777777" w:rsidR="002460BA" w:rsidRPr="002460BA" w:rsidRDefault="002460BA" w:rsidP="00625234">
            <w:pPr>
              <w:spacing w:after="240"/>
              <w:ind w:left="-43"/>
              <w:rPr>
                <w:rFonts w:eastAsia="Times New Roman" w:cs="Times New Roman"/>
                <w:color w:val="000000"/>
              </w:rPr>
            </w:pPr>
            <w:r w:rsidRPr="002460BA">
              <w:rPr>
                <w:rFonts w:eastAsia="Times New Roman" w:cs="Times New Roman"/>
                <w:color w:val="000000"/>
              </w:rPr>
              <w:t>Municipality pays 100%</w:t>
            </w:r>
          </w:p>
          <w:p w14:paraId="211764AA" w14:textId="36C6ADFB" w:rsidR="002460BA" w:rsidRPr="002460BA" w:rsidRDefault="00E40F60" w:rsidP="00E40F60">
            <w:pPr>
              <w:spacing w:after="240"/>
              <w:ind w:left="-43"/>
              <w:rPr>
                <w:rFonts w:eastAsia="Times New Roman" w:cs="Times New Roman"/>
                <w:color w:val="000000"/>
              </w:rPr>
            </w:pPr>
            <w:r>
              <w:rPr>
                <w:rFonts w:eastAsia="Times New Roman" w:cs="Times New Roman"/>
                <w:color w:val="000000"/>
              </w:rPr>
              <w:t>Municipal costs offset by MPAG</w:t>
            </w:r>
            <w:r w:rsidR="002460BA" w:rsidRPr="002460BA">
              <w:rPr>
                <w:rFonts w:eastAsia="Times New Roman" w:cs="Times New Roman"/>
                <w:color w:val="000000"/>
              </w:rPr>
              <w:t xml:space="preserve"> provided by the Government of Alberta</w:t>
            </w:r>
          </w:p>
        </w:tc>
      </w:tr>
      <w:tr w:rsidR="002460BA" w:rsidRPr="002460BA" w14:paraId="035534B5" w14:textId="77777777" w:rsidTr="002460BA">
        <w:trPr>
          <w:trHeight w:val="2032"/>
        </w:trPr>
        <w:tc>
          <w:tcPr>
            <w:tcW w:w="1816" w:type="dxa"/>
            <w:tcMar>
              <w:top w:w="150" w:type="dxa"/>
              <w:left w:w="150" w:type="dxa"/>
              <w:bottom w:w="150" w:type="dxa"/>
              <w:right w:w="150" w:type="dxa"/>
            </w:tcMar>
            <w:vAlign w:val="center"/>
            <w:hideMark/>
          </w:tcPr>
          <w:p w14:paraId="027CC250" w14:textId="77777777" w:rsidR="002460BA" w:rsidRPr="002460BA" w:rsidRDefault="002460BA" w:rsidP="00625234">
            <w:pPr>
              <w:ind w:left="-43"/>
              <w:rPr>
                <w:rFonts w:eastAsia="Times New Roman" w:cs="Times New Roman"/>
                <w:color w:val="000000"/>
              </w:rPr>
            </w:pPr>
            <w:r w:rsidRPr="002460BA">
              <w:rPr>
                <w:rFonts w:eastAsia="Times New Roman" w:cs="Times New Roman"/>
                <w:color w:val="000000"/>
              </w:rPr>
              <w:t>Over 15,000</w:t>
            </w:r>
          </w:p>
        </w:tc>
        <w:tc>
          <w:tcPr>
            <w:tcW w:w="3937" w:type="dxa"/>
            <w:tcMar>
              <w:top w:w="150" w:type="dxa"/>
              <w:left w:w="150" w:type="dxa"/>
              <w:bottom w:w="150" w:type="dxa"/>
              <w:right w:w="150" w:type="dxa"/>
            </w:tcMar>
            <w:vAlign w:val="center"/>
            <w:hideMark/>
          </w:tcPr>
          <w:p w14:paraId="07372958" w14:textId="77777777" w:rsidR="002460BA" w:rsidRPr="002460BA" w:rsidRDefault="002460BA" w:rsidP="00625234">
            <w:pPr>
              <w:ind w:left="-43"/>
              <w:rPr>
                <w:rFonts w:eastAsia="Times New Roman" w:cs="Times New Roman"/>
                <w:color w:val="000000"/>
              </w:rPr>
            </w:pPr>
            <w:r w:rsidRPr="002460BA">
              <w:rPr>
                <w:rFonts w:eastAsia="Times New Roman" w:cs="Times New Roman"/>
                <w:color w:val="000000"/>
              </w:rPr>
              <w:t>Municipal Police Service Agreement with RCMP</w:t>
            </w:r>
          </w:p>
        </w:tc>
        <w:tc>
          <w:tcPr>
            <w:tcW w:w="3937" w:type="dxa"/>
            <w:tcMar>
              <w:top w:w="150" w:type="dxa"/>
              <w:left w:w="150" w:type="dxa"/>
              <w:bottom w:w="150" w:type="dxa"/>
              <w:right w:w="150" w:type="dxa"/>
            </w:tcMar>
            <w:vAlign w:val="center"/>
            <w:hideMark/>
          </w:tcPr>
          <w:p w14:paraId="6A39C3E0" w14:textId="77777777" w:rsidR="002460BA" w:rsidRPr="002460BA" w:rsidRDefault="002460BA" w:rsidP="00625234">
            <w:pPr>
              <w:spacing w:after="240"/>
              <w:ind w:left="-43"/>
              <w:rPr>
                <w:rFonts w:eastAsia="Times New Roman" w:cs="Times New Roman"/>
                <w:color w:val="000000"/>
              </w:rPr>
            </w:pPr>
            <w:r w:rsidRPr="002460BA">
              <w:rPr>
                <w:rFonts w:eastAsia="Times New Roman" w:cs="Times New Roman"/>
                <w:color w:val="000000"/>
              </w:rPr>
              <w:t>Municipality pays 90%</w:t>
            </w:r>
          </w:p>
          <w:p w14:paraId="451C4DF8" w14:textId="77777777" w:rsidR="002460BA" w:rsidRPr="002460BA" w:rsidRDefault="002460BA" w:rsidP="00625234">
            <w:pPr>
              <w:spacing w:after="240"/>
              <w:ind w:left="-43"/>
              <w:rPr>
                <w:rFonts w:eastAsia="Times New Roman" w:cs="Times New Roman"/>
                <w:color w:val="000000"/>
              </w:rPr>
            </w:pPr>
            <w:r w:rsidRPr="002460BA">
              <w:rPr>
                <w:rFonts w:eastAsia="Times New Roman" w:cs="Times New Roman"/>
                <w:color w:val="000000"/>
              </w:rPr>
              <w:t>Federal government pays 10%</w:t>
            </w:r>
          </w:p>
          <w:p w14:paraId="69E7F955" w14:textId="60BC66F5" w:rsidR="002460BA" w:rsidRPr="002460BA" w:rsidRDefault="00E40F60" w:rsidP="00E40F60">
            <w:pPr>
              <w:spacing w:after="240"/>
              <w:ind w:left="-43"/>
              <w:rPr>
                <w:rFonts w:eastAsia="Times New Roman" w:cs="Times New Roman"/>
                <w:color w:val="000000"/>
              </w:rPr>
            </w:pPr>
            <w:r>
              <w:rPr>
                <w:rFonts w:eastAsia="Times New Roman" w:cs="Times New Roman"/>
                <w:color w:val="000000"/>
              </w:rPr>
              <w:t>Municipal costs offset by MPAG</w:t>
            </w:r>
            <w:r w:rsidR="002460BA" w:rsidRPr="002460BA">
              <w:rPr>
                <w:rFonts w:eastAsia="Times New Roman" w:cs="Times New Roman"/>
                <w:color w:val="000000"/>
              </w:rPr>
              <w:t xml:space="preserve"> provided by the Government of Alberta</w:t>
            </w:r>
          </w:p>
        </w:tc>
      </w:tr>
      <w:tr w:rsidR="002460BA" w:rsidRPr="002460BA" w14:paraId="3DCD1FC0" w14:textId="77777777" w:rsidTr="002460BA">
        <w:tc>
          <w:tcPr>
            <w:tcW w:w="1816" w:type="dxa"/>
            <w:tcMar>
              <w:top w:w="150" w:type="dxa"/>
              <w:left w:w="150" w:type="dxa"/>
              <w:bottom w:w="150" w:type="dxa"/>
              <w:right w:w="150" w:type="dxa"/>
            </w:tcMar>
            <w:vAlign w:val="center"/>
            <w:hideMark/>
          </w:tcPr>
          <w:p w14:paraId="76D3BCC5" w14:textId="1F6DE075" w:rsidR="002460BA" w:rsidRPr="002460BA" w:rsidRDefault="002460BA" w:rsidP="00E40F60">
            <w:pPr>
              <w:ind w:left="-43"/>
              <w:rPr>
                <w:rFonts w:eastAsia="Times New Roman" w:cs="Times New Roman"/>
                <w:color w:val="000000"/>
              </w:rPr>
            </w:pPr>
            <w:r w:rsidRPr="002460BA">
              <w:rPr>
                <w:rFonts w:eastAsia="Times New Roman" w:cs="Times New Roman"/>
                <w:color w:val="000000"/>
              </w:rPr>
              <w:t xml:space="preserve">5,000 </w:t>
            </w:r>
            <w:r w:rsidR="00E40F60">
              <w:rPr>
                <w:rFonts w:eastAsia="Times New Roman" w:cs="Times New Roman"/>
                <w:color w:val="000000"/>
              </w:rPr>
              <w:t>to 15,000</w:t>
            </w:r>
          </w:p>
        </w:tc>
        <w:tc>
          <w:tcPr>
            <w:tcW w:w="3937" w:type="dxa"/>
            <w:tcMar>
              <w:top w:w="150" w:type="dxa"/>
              <w:left w:w="150" w:type="dxa"/>
              <w:bottom w:w="150" w:type="dxa"/>
              <w:right w:w="150" w:type="dxa"/>
            </w:tcMar>
            <w:vAlign w:val="center"/>
            <w:hideMark/>
          </w:tcPr>
          <w:p w14:paraId="33FDDA8A" w14:textId="77777777" w:rsidR="002460BA" w:rsidRPr="002460BA" w:rsidRDefault="002460BA" w:rsidP="00625234">
            <w:pPr>
              <w:ind w:left="-43"/>
              <w:rPr>
                <w:rFonts w:eastAsia="Times New Roman" w:cs="Times New Roman"/>
                <w:color w:val="000000"/>
              </w:rPr>
            </w:pPr>
            <w:r w:rsidRPr="002460BA">
              <w:rPr>
                <w:rFonts w:eastAsia="Times New Roman" w:cs="Times New Roman"/>
                <w:color w:val="000000"/>
              </w:rPr>
              <w:t>Municipal Police Service Agreement with RCMP</w:t>
            </w:r>
          </w:p>
        </w:tc>
        <w:tc>
          <w:tcPr>
            <w:tcW w:w="3937" w:type="dxa"/>
            <w:tcMar>
              <w:top w:w="150" w:type="dxa"/>
              <w:left w:w="150" w:type="dxa"/>
              <w:bottom w:w="150" w:type="dxa"/>
              <w:right w:w="150" w:type="dxa"/>
            </w:tcMar>
            <w:vAlign w:val="center"/>
            <w:hideMark/>
          </w:tcPr>
          <w:p w14:paraId="2CB5AC09" w14:textId="77777777" w:rsidR="002460BA" w:rsidRPr="002460BA" w:rsidRDefault="002460BA" w:rsidP="00625234">
            <w:pPr>
              <w:spacing w:after="240"/>
              <w:ind w:left="-43"/>
              <w:rPr>
                <w:rFonts w:eastAsia="Times New Roman" w:cs="Times New Roman"/>
                <w:color w:val="000000"/>
              </w:rPr>
            </w:pPr>
            <w:r w:rsidRPr="002460BA">
              <w:rPr>
                <w:rFonts w:eastAsia="Times New Roman" w:cs="Times New Roman"/>
                <w:color w:val="000000"/>
              </w:rPr>
              <w:t>Municipality pays 70%</w:t>
            </w:r>
          </w:p>
          <w:p w14:paraId="5095AF2F" w14:textId="77777777" w:rsidR="002460BA" w:rsidRPr="002460BA" w:rsidRDefault="002460BA" w:rsidP="00625234">
            <w:pPr>
              <w:spacing w:after="240"/>
              <w:ind w:left="-43"/>
              <w:rPr>
                <w:rFonts w:eastAsia="Times New Roman" w:cs="Times New Roman"/>
                <w:color w:val="000000"/>
              </w:rPr>
            </w:pPr>
            <w:r w:rsidRPr="002460BA">
              <w:rPr>
                <w:rFonts w:eastAsia="Times New Roman" w:cs="Times New Roman"/>
                <w:color w:val="000000"/>
              </w:rPr>
              <w:t>Federal government pays 30%</w:t>
            </w:r>
          </w:p>
          <w:p w14:paraId="196E76B8" w14:textId="3726A609" w:rsidR="002460BA" w:rsidRPr="002460BA" w:rsidRDefault="00E40F60" w:rsidP="00625234">
            <w:pPr>
              <w:spacing w:after="240"/>
              <w:ind w:left="-43"/>
              <w:rPr>
                <w:rFonts w:eastAsia="Times New Roman" w:cs="Times New Roman"/>
                <w:color w:val="000000"/>
              </w:rPr>
            </w:pPr>
            <w:r>
              <w:rPr>
                <w:rFonts w:eastAsia="Times New Roman" w:cs="Times New Roman"/>
                <w:color w:val="000000"/>
              </w:rPr>
              <w:t>Mun</w:t>
            </w:r>
            <w:r>
              <w:rPr>
                <w:rFonts w:eastAsia="Times New Roman" w:cs="Times New Roman"/>
                <w:color w:val="000000"/>
              </w:rPr>
              <w:t>i</w:t>
            </w:r>
            <w:r>
              <w:rPr>
                <w:rFonts w:eastAsia="Times New Roman" w:cs="Times New Roman"/>
                <w:color w:val="000000"/>
              </w:rPr>
              <w:t>cipal costs offset by MPAG</w:t>
            </w:r>
            <w:r w:rsidRPr="002460BA">
              <w:rPr>
                <w:rFonts w:eastAsia="Times New Roman" w:cs="Times New Roman"/>
                <w:color w:val="000000"/>
              </w:rPr>
              <w:t xml:space="preserve"> provided by the Government of Alberta</w:t>
            </w:r>
          </w:p>
        </w:tc>
      </w:tr>
    </w:tbl>
    <w:p w14:paraId="0147D75B" w14:textId="77777777" w:rsidR="002460BA" w:rsidRPr="002460BA" w:rsidRDefault="002460BA" w:rsidP="002460BA">
      <w:pPr>
        <w:rPr>
          <w:rFonts w:eastAsia="Times New Roman" w:cs="Times New Roman"/>
        </w:rPr>
      </w:pPr>
    </w:p>
    <w:p w14:paraId="3C1D5FED" w14:textId="77777777" w:rsidR="002460BA" w:rsidRPr="002460BA" w:rsidRDefault="002460BA" w:rsidP="0032775D">
      <w:pPr>
        <w:rPr>
          <w:rFonts w:eastAsia="Times New Roman" w:cs="Times New Roman"/>
        </w:rPr>
      </w:pPr>
      <w:r w:rsidRPr="002460BA">
        <w:rPr>
          <w:rFonts w:eastAsia="Times New Roman" w:cs="Times New Roman"/>
        </w:rPr>
        <w:t>The province provides funding to municipalities to help meet the costs of policing services through the Municipal Police Assistance Grant (MPAG) Program. All municipalities that pay some or all of the costs of their policing qualify for this program. Recipients must provide reports on how the grant funds were used. The grant is issued annually to all eligible municipalities and no application is required.</w:t>
      </w:r>
    </w:p>
    <w:p w14:paraId="4DF5E4D5" w14:textId="77777777" w:rsidR="002460BA" w:rsidRPr="002460BA" w:rsidRDefault="002460BA" w:rsidP="0032775D">
      <w:pPr>
        <w:rPr>
          <w:rFonts w:eastAsia="Times New Roman" w:cs="Times New Roman"/>
        </w:rPr>
      </w:pPr>
    </w:p>
    <w:p w14:paraId="6D58AD99" w14:textId="77777777" w:rsidR="002460BA" w:rsidRPr="002460BA" w:rsidRDefault="002460BA" w:rsidP="0032775D">
      <w:pPr>
        <w:rPr>
          <w:rFonts w:eastAsia="Times New Roman" w:cs="Times New Roman"/>
        </w:rPr>
      </w:pPr>
      <w:r w:rsidRPr="002460BA">
        <w:rPr>
          <w:rFonts w:eastAsia="Times New Roman" w:cs="Times New Roman"/>
        </w:rPr>
        <w:t>MPAG financial assistance is based on the following thresholds:</w:t>
      </w:r>
    </w:p>
    <w:p w14:paraId="7E08A7D6" w14:textId="77777777" w:rsidR="002460BA" w:rsidRPr="002460BA" w:rsidRDefault="002460BA" w:rsidP="0032775D">
      <w:pPr>
        <w:numPr>
          <w:ilvl w:val="0"/>
          <w:numId w:val="36"/>
        </w:numPr>
        <w:contextualSpacing/>
        <w:rPr>
          <w:rFonts w:eastAsia="Times New Roman" w:cs="Times New Roman"/>
        </w:rPr>
      </w:pPr>
      <w:r w:rsidRPr="002460BA">
        <w:rPr>
          <w:rFonts w:eastAsia="Times New Roman" w:cs="Times New Roman"/>
        </w:rPr>
        <w:t>Towns and cities with a population from 5,001 to 16,666 receive a $200,000 base payment plus an additional $8.00 per capita.</w:t>
      </w:r>
    </w:p>
    <w:p w14:paraId="2D1BB41B" w14:textId="77777777" w:rsidR="002460BA" w:rsidRPr="002460BA" w:rsidRDefault="002460BA" w:rsidP="0032775D">
      <w:pPr>
        <w:numPr>
          <w:ilvl w:val="0"/>
          <w:numId w:val="36"/>
        </w:numPr>
        <w:contextualSpacing/>
        <w:rPr>
          <w:rFonts w:eastAsia="Times New Roman" w:cs="Times New Roman"/>
        </w:rPr>
      </w:pPr>
      <w:r w:rsidRPr="002460BA">
        <w:rPr>
          <w:rFonts w:eastAsia="Times New Roman" w:cs="Times New Roman"/>
        </w:rPr>
        <w:t>Cities and urban service areas with a population from 16,667 to 50,000 receive a $100,000 base payment plus $14.00 per capita.</w:t>
      </w:r>
    </w:p>
    <w:p w14:paraId="1AD930ED" w14:textId="77777777" w:rsidR="002460BA" w:rsidRPr="002460BA" w:rsidRDefault="002460BA" w:rsidP="0032775D">
      <w:pPr>
        <w:numPr>
          <w:ilvl w:val="0"/>
          <w:numId w:val="36"/>
        </w:numPr>
        <w:contextualSpacing/>
        <w:rPr>
          <w:rFonts w:eastAsia="Times New Roman" w:cs="Times New Roman"/>
        </w:rPr>
      </w:pPr>
      <w:r w:rsidRPr="002460BA">
        <w:rPr>
          <w:rFonts w:eastAsia="Times New Roman" w:cs="Times New Roman"/>
        </w:rPr>
        <w:t>Cities and urban service areas with a population over 50,000 receive grants of $16.00 per capita.</w:t>
      </w:r>
    </w:p>
    <w:p w14:paraId="1936A1A8" w14:textId="77777777" w:rsidR="002460BA" w:rsidRPr="002460BA" w:rsidRDefault="002460BA" w:rsidP="0032775D">
      <w:pPr>
        <w:widowControl w:val="0"/>
        <w:autoSpaceDE w:val="0"/>
        <w:autoSpaceDN w:val="0"/>
        <w:adjustRightInd w:val="0"/>
        <w:spacing w:after="242" w:line="231" w:lineRule="atLeast"/>
      </w:pPr>
    </w:p>
    <w:p w14:paraId="61BDE2B8" w14:textId="77777777" w:rsidR="002460BA" w:rsidRDefault="002460BA" w:rsidP="00FD449C">
      <w:pPr>
        <w:pStyle w:val="Heading1"/>
        <w:numPr>
          <w:ilvl w:val="0"/>
          <w:numId w:val="0"/>
        </w:numPr>
      </w:pPr>
    </w:p>
    <w:p w14:paraId="08DEF5FE" w14:textId="115AE432" w:rsidR="00FD449C" w:rsidRDefault="003F2714" w:rsidP="0032775D">
      <w:pPr>
        <w:pStyle w:val="Heading1"/>
        <w:numPr>
          <w:ilvl w:val="0"/>
          <w:numId w:val="0"/>
        </w:numPr>
      </w:pPr>
      <w:r>
        <w:t>W</w:t>
      </w:r>
      <w:r w:rsidR="00FD449C" w:rsidRPr="00FD449C">
        <w:t>hy action is needed</w:t>
      </w:r>
    </w:p>
    <w:p w14:paraId="2F15958C" w14:textId="28FD57EA" w:rsidR="00753A90" w:rsidRDefault="00753A90" w:rsidP="0032775D"/>
    <w:p w14:paraId="6560BAC0" w14:textId="74720795" w:rsidR="002460BA" w:rsidRDefault="002460BA" w:rsidP="0032775D">
      <w:pPr>
        <w:widowControl w:val="0"/>
        <w:autoSpaceDE w:val="0"/>
        <w:autoSpaceDN w:val="0"/>
        <w:adjustRightInd w:val="0"/>
        <w:spacing w:after="242" w:line="231" w:lineRule="atLeast"/>
      </w:pPr>
      <w:r>
        <w:t xml:space="preserve">Currently, policing costs are only paid by urban municipalities with a population greater than 5,000.  Small urbans and all municipal districts and counties are exempt. Although the province provides </w:t>
      </w:r>
      <w:r w:rsidR="0032775D">
        <w:t xml:space="preserve">some </w:t>
      </w:r>
      <w:r>
        <w:t xml:space="preserve">support through the </w:t>
      </w:r>
      <w:r w:rsidR="003F2714">
        <w:t>MPAG</w:t>
      </w:r>
      <w:r>
        <w:t xml:space="preserve"> Program, there have been chronic shortfalls in funding as the program has not kept pace with growing populations and increasing crime rates, as shown in the following figures. </w:t>
      </w:r>
    </w:p>
    <w:p w14:paraId="1E8D4DC9" w14:textId="0879DDE3" w:rsidR="002460BA" w:rsidRDefault="002460BA" w:rsidP="002460BA">
      <w:pPr>
        <w:widowControl w:val="0"/>
        <w:autoSpaceDE w:val="0"/>
        <w:autoSpaceDN w:val="0"/>
        <w:adjustRightInd w:val="0"/>
        <w:spacing w:after="242" w:line="231" w:lineRule="atLeast"/>
        <w:jc w:val="both"/>
      </w:pPr>
      <w:r>
        <w:rPr>
          <w:noProof/>
        </w:rPr>
        <w:drawing>
          <wp:inline distT="0" distB="0" distL="0" distR="0" wp14:anchorId="333A16A6" wp14:editId="1605261F">
            <wp:extent cx="5943600" cy="32289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7B5D5A06" wp14:editId="32D9ABEE">
            <wp:extent cx="5943600" cy="2819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DDEE17" w14:textId="52198F75" w:rsidR="002460BA" w:rsidRDefault="008D0823" w:rsidP="0032775D">
      <w:pPr>
        <w:widowControl w:val="0"/>
        <w:autoSpaceDE w:val="0"/>
        <w:autoSpaceDN w:val="0"/>
        <w:adjustRightInd w:val="0"/>
        <w:spacing w:after="242" w:line="231" w:lineRule="atLeast"/>
      </w:pPr>
      <w:r>
        <w:lastRenderedPageBreak/>
        <w:t xml:space="preserve">While </w:t>
      </w:r>
      <w:r w:rsidR="0032775D">
        <w:t xml:space="preserve">municipal policing expenditures in Alberta increased </w:t>
      </w:r>
      <w:r>
        <w:t xml:space="preserve">23.3% </w:t>
      </w:r>
      <w:r w:rsidR="0032775D">
        <w:t>from 2008 to 201</w:t>
      </w:r>
      <w:r>
        <w:t>6, the MPAG only increased15.8 per cent</w:t>
      </w:r>
      <w:r w:rsidR="0032775D">
        <w:t xml:space="preserve"> in that time</w:t>
      </w:r>
      <w:r>
        <w:t xml:space="preserve">. Meanwhile, crime rates in Alberta have remained high, with both our violent crime rate and property crime rate above the national averages in 2016. </w:t>
      </w:r>
    </w:p>
    <w:p w14:paraId="46DA7AE6" w14:textId="77777777" w:rsidR="008D0823" w:rsidRDefault="008D0823" w:rsidP="008D0823">
      <w:pPr>
        <w:pStyle w:val="Heading1"/>
        <w:numPr>
          <w:ilvl w:val="0"/>
          <w:numId w:val="0"/>
        </w:numPr>
      </w:pPr>
      <w:r>
        <w:t>The solution</w:t>
      </w:r>
    </w:p>
    <w:p w14:paraId="25EEDD2F" w14:textId="7EE053F4" w:rsidR="00E200AC" w:rsidRPr="00E200AC" w:rsidRDefault="002460BA" w:rsidP="00EE2A47">
      <w:pPr>
        <w:pStyle w:val="Heading1"/>
        <w:numPr>
          <w:ilvl w:val="0"/>
          <w:numId w:val="0"/>
        </w:numPr>
        <w:rPr>
          <w:color w:val="auto"/>
          <w:sz w:val="22"/>
          <w:szCs w:val="22"/>
        </w:rPr>
      </w:pPr>
      <w:r w:rsidRPr="00EE2A47">
        <w:rPr>
          <w:color w:val="auto"/>
          <w:sz w:val="22"/>
          <w:szCs w:val="22"/>
        </w:rPr>
        <w:t xml:space="preserve">The </w:t>
      </w:r>
      <w:r w:rsidRPr="00E200AC">
        <w:rPr>
          <w:color w:val="auto"/>
          <w:sz w:val="22"/>
          <w:szCs w:val="22"/>
        </w:rPr>
        <w:t xml:space="preserve">inequitable responsibility for funding police services has frustrated many of AUMA’s members for several years.  </w:t>
      </w:r>
      <w:r w:rsidR="00EE2A47" w:rsidRPr="00E200AC">
        <w:rPr>
          <w:color w:val="auto"/>
          <w:sz w:val="22"/>
          <w:szCs w:val="22"/>
        </w:rPr>
        <w:t>In 2010,</w:t>
      </w:r>
      <w:r w:rsidRPr="00E200AC">
        <w:rPr>
          <w:color w:val="auto"/>
          <w:sz w:val="22"/>
          <w:szCs w:val="22"/>
        </w:rPr>
        <w:t xml:space="preserve"> AUMA consulted with our members on potential approaches and made a number</w:t>
      </w:r>
      <w:r w:rsidR="00EE2A47" w:rsidRPr="00E200AC">
        <w:rPr>
          <w:color w:val="auto"/>
          <w:sz w:val="22"/>
          <w:szCs w:val="22"/>
        </w:rPr>
        <w:t xml:space="preserve"> of submissions to the province</w:t>
      </w:r>
      <w:r w:rsidR="00E200AC" w:rsidRPr="00E200AC">
        <w:rPr>
          <w:color w:val="auto"/>
          <w:sz w:val="22"/>
          <w:szCs w:val="22"/>
        </w:rPr>
        <w:t>, including the following principles for equitable police funding model:</w:t>
      </w:r>
    </w:p>
    <w:p w14:paraId="198FD352" w14:textId="64D367A8" w:rsidR="00E200AC" w:rsidRPr="00E200AC" w:rsidRDefault="00EE2A47" w:rsidP="00E200AC">
      <w:pPr>
        <w:pStyle w:val="Heading1"/>
        <w:numPr>
          <w:ilvl w:val="0"/>
          <w:numId w:val="38"/>
        </w:numPr>
        <w:rPr>
          <w:color w:val="auto"/>
          <w:sz w:val="22"/>
          <w:szCs w:val="22"/>
        </w:rPr>
      </w:pPr>
      <w:r w:rsidRPr="00E200AC">
        <w:rPr>
          <w:color w:val="auto"/>
          <w:sz w:val="22"/>
          <w:szCs w:val="22"/>
          <w:lang w:val="en-CA"/>
        </w:rPr>
        <w:t xml:space="preserve">A fair, </w:t>
      </w:r>
      <w:r w:rsidR="00E200AC">
        <w:rPr>
          <w:color w:val="auto"/>
          <w:sz w:val="22"/>
          <w:szCs w:val="22"/>
          <w:lang w:val="en-CA"/>
        </w:rPr>
        <w:t>fl</w:t>
      </w:r>
      <w:r w:rsidR="00E200AC" w:rsidRPr="00E200AC">
        <w:rPr>
          <w:color w:val="auto"/>
          <w:sz w:val="22"/>
          <w:szCs w:val="22"/>
          <w:lang w:val="en-CA"/>
        </w:rPr>
        <w:t>exible and equitable model should be developed that:</w:t>
      </w:r>
    </w:p>
    <w:p w14:paraId="3DAAB294" w14:textId="77777777" w:rsidR="00E200AC" w:rsidRPr="00E200AC" w:rsidRDefault="00E200AC" w:rsidP="00E200AC">
      <w:pPr>
        <w:numPr>
          <w:ilvl w:val="0"/>
          <w:numId w:val="37"/>
        </w:numPr>
        <w:ind w:left="1080"/>
        <w:contextualSpacing/>
        <w:rPr>
          <w:lang w:val="en-CA"/>
        </w:rPr>
      </w:pPr>
      <w:r w:rsidRPr="00E200AC">
        <w:rPr>
          <w:lang w:val="en-CA"/>
        </w:rPr>
        <w:t>Ensures the level of provincial funding is sufficient to meet the standard levels of service.</w:t>
      </w:r>
    </w:p>
    <w:p w14:paraId="053C9EE7" w14:textId="77777777" w:rsidR="00E200AC" w:rsidRDefault="00E200AC" w:rsidP="00E200AC">
      <w:pPr>
        <w:numPr>
          <w:ilvl w:val="0"/>
          <w:numId w:val="37"/>
        </w:numPr>
        <w:ind w:left="1080"/>
        <w:contextualSpacing/>
        <w:rPr>
          <w:lang w:val="en-CA"/>
        </w:rPr>
      </w:pPr>
      <w:r w:rsidRPr="00E200AC">
        <w:rPr>
          <w:lang w:val="en-CA"/>
        </w:rPr>
        <w:t>Requires services beyond the standard level to be funded by the jurisdiction wanting the additional services.</w:t>
      </w:r>
    </w:p>
    <w:p w14:paraId="66D8C503" w14:textId="2A22BF5B" w:rsidR="00E200AC" w:rsidRPr="00E200AC" w:rsidRDefault="00E200AC" w:rsidP="00E200AC">
      <w:pPr>
        <w:numPr>
          <w:ilvl w:val="0"/>
          <w:numId w:val="37"/>
        </w:numPr>
        <w:ind w:left="1080"/>
        <w:contextualSpacing/>
        <w:rPr>
          <w:lang w:val="en-CA"/>
        </w:rPr>
      </w:pPr>
      <w:r w:rsidRPr="00E200AC">
        <w:rPr>
          <w:lang w:val="en-CA"/>
        </w:rPr>
        <w:t>Recognizes the unique needs of each municipality (i.e. specialized services</w:t>
      </w:r>
      <w:r>
        <w:rPr>
          <w:lang w:val="en-CA"/>
        </w:rPr>
        <w:t>).</w:t>
      </w:r>
    </w:p>
    <w:p w14:paraId="19B06EFB" w14:textId="381FCCEA" w:rsidR="00EE2A47" w:rsidRPr="00E200AC" w:rsidRDefault="00EE2A47" w:rsidP="00E200AC">
      <w:pPr>
        <w:pStyle w:val="Heading1"/>
        <w:numPr>
          <w:ilvl w:val="0"/>
          <w:numId w:val="38"/>
        </w:numPr>
        <w:rPr>
          <w:lang w:val="en-CA"/>
        </w:rPr>
      </w:pPr>
      <w:r w:rsidRPr="00E200AC">
        <w:rPr>
          <w:color w:val="auto"/>
          <w:sz w:val="22"/>
          <w:szCs w:val="22"/>
          <w:lang w:val="en-CA"/>
        </w:rPr>
        <w:t>The model should encourage efficiencies by:</w:t>
      </w:r>
    </w:p>
    <w:p w14:paraId="209E49CF" w14:textId="77777777" w:rsidR="00EE2A47" w:rsidRPr="00E200AC" w:rsidRDefault="00EE2A47" w:rsidP="00E200AC">
      <w:pPr>
        <w:numPr>
          <w:ilvl w:val="0"/>
          <w:numId w:val="37"/>
        </w:numPr>
        <w:ind w:left="1080"/>
        <w:contextualSpacing/>
        <w:rPr>
          <w:lang w:val="en-CA"/>
        </w:rPr>
      </w:pPr>
      <w:r w:rsidRPr="00E200AC">
        <w:rPr>
          <w:lang w:val="en-CA"/>
        </w:rPr>
        <w:t>Using other mechanisms to address municipal capacity issues.</w:t>
      </w:r>
    </w:p>
    <w:p w14:paraId="73824DA2" w14:textId="5703E17C" w:rsidR="00EE2A47" w:rsidRDefault="00EE2A47" w:rsidP="00E200AC">
      <w:pPr>
        <w:numPr>
          <w:ilvl w:val="0"/>
          <w:numId w:val="37"/>
        </w:numPr>
        <w:ind w:left="1080"/>
        <w:contextualSpacing/>
        <w:rPr>
          <w:lang w:val="en-CA"/>
        </w:rPr>
      </w:pPr>
      <w:r w:rsidRPr="00E200AC">
        <w:rPr>
          <w:lang w:val="en-CA"/>
        </w:rPr>
        <w:t>Encour</w:t>
      </w:r>
      <w:r w:rsidR="00E200AC">
        <w:rPr>
          <w:lang w:val="en-CA"/>
        </w:rPr>
        <w:t>aging regional policing models.</w:t>
      </w:r>
    </w:p>
    <w:p w14:paraId="68E92BF9" w14:textId="7ACCAD9A" w:rsidR="00EE2A47" w:rsidRPr="00E200AC" w:rsidRDefault="00EE2A47" w:rsidP="00E200AC">
      <w:pPr>
        <w:pStyle w:val="Heading1"/>
        <w:numPr>
          <w:ilvl w:val="0"/>
          <w:numId w:val="38"/>
        </w:numPr>
        <w:rPr>
          <w:lang w:val="en-CA"/>
        </w:rPr>
      </w:pPr>
      <w:r w:rsidRPr="00E200AC">
        <w:rPr>
          <w:color w:val="auto"/>
          <w:sz w:val="22"/>
          <w:szCs w:val="22"/>
          <w:lang w:val="en-CA"/>
        </w:rPr>
        <w:t>The transition to a new model should:</w:t>
      </w:r>
    </w:p>
    <w:p w14:paraId="5448CD7E" w14:textId="77777777" w:rsidR="00EE2A47" w:rsidRPr="00E200AC" w:rsidRDefault="00EE2A47" w:rsidP="00E200AC">
      <w:pPr>
        <w:numPr>
          <w:ilvl w:val="0"/>
          <w:numId w:val="37"/>
        </w:numPr>
        <w:ind w:left="1080"/>
        <w:contextualSpacing/>
        <w:rPr>
          <w:lang w:val="en-CA"/>
        </w:rPr>
      </w:pPr>
      <w:r w:rsidRPr="00E200AC">
        <w:rPr>
          <w:lang w:val="en-CA"/>
        </w:rPr>
        <w:t>Ensure an adequate impact assessment analysis is completed.</w:t>
      </w:r>
    </w:p>
    <w:p w14:paraId="0800330B" w14:textId="77777777" w:rsidR="00EE2A47" w:rsidRDefault="00EE2A47" w:rsidP="00E200AC">
      <w:pPr>
        <w:numPr>
          <w:ilvl w:val="0"/>
          <w:numId w:val="37"/>
        </w:numPr>
        <w:ind w:left="1080"/>
        <w:contextualSpacing/>
        <w:rPr>
          <w:lang w:val="en-CA"/>
        </w:rPr>
      </w:pPr>
      <w:r w:rsidRPr="00E200AC">
        <w:rPr>
          <w:lang w:val="en-CA"/>
        </w:rPr>
        <w:t>Ensure that effective education and consultation mechanisms are available to Alberta’s municipalities.</w:t>
      </w:r>
    </w:p>
    <w:p w14:paraId="01EFFB9D" w14:textId="77777777" w:rsidR="00E200AC" w:rsidRPr="00E200AC" w:rsidRDefault="00E200AC" w:rsidP="00E200AC">
      <w:pPr>
        <w:numPr>
          <w:ilvl w:val="0"/>
          <w:numId w:val="37"/>
        </w:numPr>
        <w:ind w:left="1080"/>
        <w:contextualSpacing/>
        <w:rPr>
          <w:lang w:val="en-CA"/>
        </w:rPr>
      </w:pPr>
      <w:r w:rsidRPr="00E200AC">
        <w:rPr>
          <w:lang w:val="en-CA"/>
        </w:rPr>
        <w:t>Allow for an adequate notice period.</w:t>
      </w:r>
    </w:p>
    <w:p w14:paraId="27772906" w14:textId="346E45C0" w:rsidR="00E200AC" w:rsidRPr="00E200AC" w:rsidRDefault="00E200AC" w:rsidP="00E200AC">
      <w:pPr>
        <w:pStyle w:val="Heading1"/>
        <w:numPr>
          <w:ilvl w:val="0"/>
          <w:numId w:val="38"/>
        </w:numPr>
        <w:rPr>
          <w:color w:val="auto"/>
          <w:sz w:val="22"/>
          <w:szCs w:val="22"/>
          <w:lang w:val="en-CA"/>
        </w:rPr>
      </w:pPr>
      <w:r w:rsidRPr="00E200AC">
        <w:rPr>
          <w:color w:val="auto"/>
          <w:sz w:val="22"/>
          <w:szCs w:val="22"/>
          <w:lang w:val="en-CA"/>
        </w:rPr>
        <w:t>Revenues created from the new model should be reinvested in public safety:</w:t>
      </w:r>
    </w:p>
    <w:p w14:paraId="216D8600" w14:textId="4E911C48" w:rsidR="00E200AC" w:rsidRDefault="00E200AC" w:rsidP="00E200AC">
      <w:pPr>
        <w:numPr>
          <w:ilvl w:val="0"/>
          <w:numId w:val="37"/>
        </w:numPr>
        <w:ind w:left="1080"/>
        <w:contextualSpacing/>
        <w:rPr>
          <w:lang w:val="en-CA"/>
        </w:rPr>
      </w:pPr>
      <w:r w:rsidRPr="00E200AC">
        <w:rPr>
          <w:lang w:val="en-CA"/>
        </w:rPr>
        <w:t>Ensure any additional revenue collected from an “everyone pays” model is returned to the protection of public safety.</w:t>
      </w:r>
    </w:p>
    <w:p w14:paraId="1B827952" w14:textId="2BE91E52" w:rsidR="00EE2A47" w:rsidRPr="00E200AC" w:rsidRDefault="00E200AC" w:rsidP="00E200AC">
      <w:pPr>
        <w:numPr>
          <w:ilvl w:val="0"/>
          <w:numId w:val="37"/>
        </w:numPr>
        <w:ind w:left="1080"/>
        <w:contextualSpacing/>
        <w:rPr>
          <w:lang w:val="en-CA"/>
        </w:rPr>
      </w:pPr>
      <w:r w:rsidRPr="00E200AC">
        <w:rPr>
          <w:lang w:val="en-CA"/>
        </w:rPr>
        <w:t>Ensure fine revenues stay in the communities they are generated in.</w:t>
      </w:r>
    </w:p>
    <w:p w14:paraId="4EFB371D" w14:textId="148701A9" w:rsidR="002460BA" w:rsidRPr="00EE2A47" w:rsidRDefault="00E200AC" w:rsidP="00EE2A47">
      <w:pPr>
        <w:pStyle w:val="Heading1"/>
        <w:numPr>
          <w:ilvl w:val="0"/>
          <w:numId w:val="0"/>
        </w:numPr>
        <w:rPr>
          <w:color w:val="auto"/>
          <w:sz w:val="22"/>
          <w:szCs w:val="22"/>
        </w:rPr>
      </w:pPr>
      <w:r>
        <w:rPr>
          <w:color w:val="auto"/>
          <w:sz w:val="22"/>
          <w:szCs w:val="22"/>
        </w:rPr>
        <w:t xml:space="preserve">AUMA </w:t>
      </w:r>
      <w:r w:rsidR="00A7027B">
        <w:rPr>
          <w:color w:val="auto"/>
          <w:sz w:val="22"/>
          <w:szCs w:val="22"/>
        </w:rPr>
        <w:t xml:space="preserve">continues to support the </w:t>
      </w:r>
      <w:r w:rsidRPr="00E200AC">
        <w:rPr>
          <w:color w:val="auto"/>
          <w:sz w:val="22"/>
          <w:szCs w:val="22"/>
        </w:rPr>
        <w:t>“everyone should pay” concept</w:t>
      </w:r>
      <w:r w:rsidR="00A7027B">
        <w:rPr>
          <w:color w:val="auto"/>
          <w:sz w:val="22"/>
          <w:szCs w:val="22"/>
        </w:rPr>
        <w:t xml:space="preserve">. This means </w:t>
      </w:r>
      <w:r w:rsidRPr="00E200AC">
        <w:rPr>
          <w:color w:val="auto"/>
          <w:sz w:val="22"/>
          <w:szCs w:val="22"/>
        </w:rPr>
        <w:t>using a</w:t>
      </w:r>
      <w:r w:rsidR="00A7027B">
        <w:rPr>
          <w:color w:val="auto"/>
          <w:sz w:val="22"/>
          <w:szCs w:val="22"/>
        </w:rPr>
        <w:t xml:space="preserve"> funding</w:t>
      </w:r>
      <w:r w:rsidRPr="00E200AC">
        <w:rPr>
          <w:color w:val="auto"/>
          <w:sz w:val="22"/>
          <w:szCs w:val="22"/>
        </w:rPr>
        <w:t xml:space="preserve"> formula based on population and property assessment, with any resulting surplus funds being used for crime prevention and response.</w:t>
      </w:r>
      <w:r>
        <w:rPr>
          <w:color w:val="auto"/>
          <w:sz w:val="22"/>
          <w:szCs w:val="22"/>
        </w:rPr>
        <w:t xml:space="preserve"> </w:t>
      </w:r>
      <w:r w:rsidR="00A7027B" w:rsidRPr="00A7027B">
        <w:rPr>
          <w:color w:val="auto"/>
          <w:sz w:val="22"/>
          <w:szCs w:val="22"/>
        </w:rPr>
        <w:t xml:space="preserve">Under this model, approximately $30 to $35 million in police funding would be cost-shared among </w:t>
      </w:r>
      <w:r w:rsidR="00085726">
        <w:rPr>
          <w:color w:val="auto"/>
          <w:sz w:val="22"/>
          <w:szCs w:val="22"/>
        </w:rPr>
        <w:t xml:space="preserve">all </w:t>
      </w:r>
      <w:r w:rsidR="00A7027B" w:rsidRPr="00A7027B">
        <w:rPr>
          <w:color w:val="auto"/>
          <w:sz w:val="22"/>
          <w:szCs w:val="22"/>
        </w:rPr>
        <w:t>municipalities.</w:t>
      </w:r>
    </w:p>
    <w:p w14:paraId="18194A88" w14:textId="6F905587" w:rsidR="00A47E48" w:rsidRDefault="00A47E48" w:rsidP="006D41F0">
      <w:pPr>
        <w:pStyle w:val="Heading1"/>
        <w:numPr>
          <w:ilvl w:val="0"/>
          <w:numId w:val="0"/>
        </w:numPr>
      </w:pPr>
      <w:r>
        <w:t>Get involved</w:t>
      </w:r>
    </w:p>
    <w:p w14:paraId="79C0D6D1" w14:textId="77777777" w:rsidR="00E200AC" w:rsidRPr="00E200AC" w:rsidRDefault="00E200AC" w:rsidP="00E200AC"/>
    <w:p w14:paraId="75399E8B" w14:textId="6F1FE9F8" w:rsidR="00B857B7" w:rsidRDefault="00B857B7" w:rsidP="00E200AC">
      <w:pPr>
        <w:widowControl w:val="0"/>
        <w:autoSpaceDE w:val="0"/>
        <w:autoSpaceDN w:val="0"/>
        <w:adjustRightInd w:val="0"/>
        <w:spacing w:after="242" w:line="231" w:lineRule="atLeast"/>
      </w:pPr>
      <w:r w:rsidRPr="000F4575">
        <w:t xml:space="preserve">AUMA has developed a </w:t>
      </w:r>
      <w:r w:rsidRPr="00E40F60">
        <w:rPr>
          <w:highlight w:val="yellow"/>
        </w:rPr>
        <w:t xml:space="preserve">letter </w:t>
      </w:r>
      <w:commentRangeStart w:id="1"/>
      <w:r w:rsidRPr="00E40F60">
        <w:rPr>
          <w:highlight w:val="yellow"/>
        </w:rPr>
        <w:t>template</w:t>
      </w:r>
      <w:commentRangeEnd w:id="1"/>
      <w:r w:rsidR="00E40F60">
        <w:rPr>
          <w:rStyle w:val="CommentReference"/>
        </w:rPr>
        <w:commentReference w:id="1"/>
      </w:r>
      <w:r w:rsidR="00484B11" w:rsidRPr="000F4575">
        <w:t xml:space="preserve"> that</w:t>
      </w:r>
      <w:r w:rsidR="00484B11">
        <w:t xml:space="preserve"> you can download and</w:t>
      </w:r>
      <w:r>
        <w:t xml:space="preserve"> adapt to send to your MLA </w:t>
      </w:r>
      <w:proofErr w:type="gramStart"/>
      <w:r>
        <w:t>outlining</w:t>
      </w:r>
      <w:proofErr w:type="gramEnd"/>
      <w:r>
        <w:t xml:space="preserve"> the </w:t>
      </w:r>
      <w:r w:rsidR="00E200AC">
        <w:t xml:space="preserve">urgent </w:t>
      </w:r>
      <w:r>
        <w:t xml:space="preserve">need for </w:t>
      </w:r>
      <w:r w:rsidR="00E200AC">
        <w:t>a new, more equitable police funding model</w:t>
      </w:r>
      <w:r>
        <w:t xml:space="preserve">. </w:t>
      </w:r>
    </w:p>
    <w:p w14:paraId="42EDB711" w14:textId="365FCC87" w:rsidR="00BA7D5F" w:rsidRPr="00FD449C" w:rsidRDefault="00B857B7" w:rsidP="00E200AC">
      <w:pPr>
        <w:widowControl w:val="0"/>
        <w:autoSpaceDE w:val="0"/>
        <w:autoSpaceDN w:val="0"/>
        <w:adjustRightInd w:val="0"/>
        <w:spacing w:after="242" w:line="231" w:lineRule="atLeast"/>
      </w:pPr>
      <w:r>
        <w:t xml:space="preserve">If you have any questions about the letter writing campaign or AUMA’s approach to </w:t>
      </w:r>
      <w:r w:rsidR="00E200AC">
        <w:t>police funding</w:t>
      </w:r>
      <w:r>
        <w:t xml:space="preserve">, </w:t>
      </w:r>
      <w:r w:rsidR="00FA5FC5">
        <w:t xml:space="preserve">please </w:t>
      </w:r>
      <w:r>
        <w:t xml:space="preserve">email </w:t>
      </w:r>
      <w:hyperlink r:id="rId15" w:history="1">
        <w:r w:rsidR="00A37EB3" w:rsidRPr="00F80047">
          <w:rPr>
            <w:rStyle w:val="Hyperlink"/>
          </w:rPr>
          <w:t>advocacy@auma.ca</w:t>
        </w:r>
      </w:hyperlink>
      <w:r w:rsidR="00E40F60">
        <w:rPr>
          <w:rStyle w:val="Hyperlink"/>
        </w:rPr>
        <w:t>.</w:t>
      </w:r>
      <w:r>
        <w:t xml:space="preserve"> </w:t>
      </w:r>
    </w:p>
    <w:sectPr w:rsidR="00BA7D5F" w:rsidRPr="00FD449C">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lly Santarossa" w:date="2018-01-18T13:20:00Z" w:initials="KS">
    <w:p w14:paraId="7C1575C1" w14:textId="43057D9E" w:rsidR="00E40F60" w:rsidRDefault="00E40F60">
      <w:pPr>
        <w:pStyle w:val="CommentText"/>
      </w:pPr>
      <w:r>
        <w:rPr>
          <w:rStyle w:val="CommentReference"/>
        </w:rPr>
        <w:annotationRef/>
      </w:r>
      <w:r>
        <w:t>Insert link to MLA template.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575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CC463" w14:textId="77777777" w:rsidR="00A61D52" w:rsidRDefault="00A61D52" w:rsidP="00CD2608">
      <w:r>
        <w:separator/>
      </w:r>
    </w:p>
  </w:endnote>
  <w:endnote w:type="continuationSeparator" w:id="0">
    <w:p w14:paraId="786E16F3" w14:textId="77777777" w:rsidR="00A61D52" w:rsidRDefault="00A61D52" w:rsidP="00CD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FSVFH+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7" w14:textId="77777777" w:rsidR="00CD2608" w:rsidRDefault="00714A41">
    <w:pPr>
      <w:pStyle w:val="Footer"/>
    </w:pPr>
    <w:r>
      <w:rPr>
        <w:noProof/>
      </w:rPr>
      <w:drawing>
        <wp:anchor distT="0" distB="0" distL="114300" distR="114300" simplePos="0" relativeHeight="251659264" behindDoc="1" locked="0" layoutInCell="1" allowOverlap="1" wp14:anchorId="7D9EB2FC" wp14:editId="7D9EB2FD">
          <wp:simplePos x="0" y="0"/>
          <wp:positionH relativeFrom="margin">
            <wp:align>center</wp:align>
          </wp:positionH>
          <wp:positionV relativeFrom="paragraph">
            <wp:posOffset>6985</wp:posOffset>
          </wp:positionV>
          <wp:extent cx="6858000" cy="64037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ogo Left with 4 Mess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40370"/>
                  </a:xfrm>
                  <a:prstGeom prst="rect">
                    <a:avLst/>
                  </a:prstGeom>
                </pic:spPr>
              </pic:pic>
            </a:graphicData>
          </a:graphic>
        </wp:anchor>
      </w:drawing>
    </w:r>
  </w:p>
  <w:p w14:paraId="7D9EB2F8" w14:textId="77777777" w:rsidR="00CD2608" w:rsidRDefault="00CD2608">
    <w:pPr>
      <w:pStyle w:val="Footer"/>
    </w:pPr>
  </w:p>
  <w:p w14:paraId="7D9EB2F9" w14:textId="77777777" w:rsidR="00CD2608" w:rsidRDefault="00CD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93C2A" w14:textId="77777777" w:rsidR="00A61D52" w:rsidRDefault="00A61D52" w:rsidP="00CD2608">
      <w:r>
        <w:separator/>
      </w:r>
    </w:p>
  </w:footnote>
  <w:footnote w:type="continuationSeparator" w:id="0">
    <w:p w14:paraId="24C6D52A" w14:textId="77777777" w:rsidR="00A61D52" w:rsidRDefault="00A61D52" w:rsidP="00CD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3" w14:textId="77777777" w:rsidR="00CD2608" w:rsidRDefault="00CD2608">
    <w:pPr>
      <w:pStyle w:val="Header"/>
    </w:pPr>
    <w:r>
      <w:rPr>
        <w:noProof/>
      </w:rPr>
      <w:drawing>
        <wp:anchor distT="0" distB="0" distL="114300" distR="114300" simplePos="0" relativeHeight="251658240" behindDoc="1" locked="0" layoutInCell="1" allowOverlap="1" wp14:anchorId="7D9EB2FA" wp14:editId="7D9EB2FB">
          <wp:simplePos x="0" y="0"/>
          <wp:positionH relativeFrom="margin">
            <wp:posOffset>-447675</wp:posOffset>
          </wp:positionH>
          <wp:positionV relativeFrom="margin">
            <wp:posOffset>-748665</wp:posOffset>
          </wp:positionV>
          <wp:extent cx="68580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Document Idea Header.jpg"/>
                  <pic:cNvPicPr/>
                </pic:nvPicPr>
                <pic:blipFill rotWithShape="1">
                  <a:blip r:embed="rId1" cstate="print">
                    <a:extLst>
                      <a:ext uri="{28A0092B-C50C-407E-A947-70E740481C1C}">
                        <a14:useLocalDpi xmlns:a14="http://schemas.microsoft.com/office/drawing/2010/main" val="0"/>
                      </a:ext>
                    </a:extLst>
                  </a:blip>
                  <a:srcRect b="19680"/>
                  <a:stretch/>
                </pic:blipFill>
                <pic:spPr bwMode="auto">
                  <a:xfrm>
                    <a:off x="0" y="0"/>
                    <a:ext cx="685800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EB2F4" w14:textId="77777777" w:rsidR="00CD2608" w:rsidRDefault="00CD2608" w:rsidP="00CD2608">
    <w:pPr>
      <w:pStyle w:val="Header"/>
      <w:tabs>
        <w:tab w:val="clear" w:pos="4680"/>
        <w:tab w:val="clear" w:pos="9360"/>
        <w:tab w:val="left" w:pos="3315"/>
      </w:tabs>
    </w:pPr>
    <w:r>
      <w:tab/>
    </w:r>
  </w:p>
  <w:p w14:paraId="7D9EB2F5" w14:textId="77777777" w:rsidR="00CD2608" w:rsidRDefault="00CD2608">
    <w:pPr>
      <w:pStyle w:val="Header"/>
    </w:pPr>
  </w:p>
  <w:p w14:paraId="7D9EB2F6" w14:textId="77777777" w:rsidR="00CD2608" w:rsidRDefault="00CD2608" w:rsidP="00CD26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44AD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E4B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8CA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1C33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D0C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AC5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1E7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4AB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5A2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C20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C5E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55325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1DB0D48"/>
    <w:multiLevelType w:val="hybridMultilevel"/>
    <w:tmpl w:val="2A72DA3A"/>
    <w:lvl w:ilvl="0" w:tplc="10090001">
      <w:start w:val="1"/>
      <w:numFmt w:val="bullet"/>
      <w:lvlText w:val=""/>
      <w:lvlJc w:val="left"/>
      <w:pPr>
        <w:ind w:left="720" w:hanging="360"/>
      </w:pPr>
      <w:rPr>
        <w:rFonts w:ascii="Symbol" w:hAnsi="Symbol" w:hint="default"/>
      </w:rPr>
    </w:lvl>
    <w:lvl w:ilvl="1" w:tplc="736A3894">
      <w:numFmt w:val="bullet"/>
      <w:lvlText w:val="•"/>
      <w:lvlJc w:val="left"/>
      <w:pPr>
        <w:ind w:left="1440" w:hanging="360"/>
      </w:pPr>
      <w:rPr>
        <w:rFonts w:ascii="VFSVFH+ArialMT" w:eastAsia="Times New Roman" w:hAnsi="VFSVFH+ArialMT" w:cs="VFSVFH+Aria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395CBA"/>
    <w:multiLevelType w:val="multilevel"/>
    <w:tmpl w:val="0DEC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07C11"/>
    <w:multiLevelType w:val="hybridMultilevel"/>
    <w:tmpl w:val="E65E5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EA3C05"/>
    <w:multiLevelType w:val="hybridMultilevel"/>
    <w:tmpl w:val="593A9DCA"/>
    <w:lvl w:ilvl="0" w:tplc="6E74D50A">
      <w:numFmt w:val="bullet"/>
      <w:lvlText w:val="•"/>
      <w:lvlJc w:val="left"/>
      <w:pPr>
        <w:ind w:left="1080" w:hanging="72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C5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E67B3"/>
    <w:multiLevelType w:val="hybridMultilevel"/>
    <w:tmpl w:val="326E196C"/>
    <w:lvl w:ilvl="0" w:tplc="6E74D50A">
      <w:numFmt w:val="bullet"/>
      <w:lvlText w:val="•"/>
      <w:lvlJc w:val="left"/>
      <w:pPr>
        <w:ind w:left="720" w:hanging="720"/>
      </w:pPr>
      <w:rPr>
        <w:rFonts w:ascii="Myriad Pro" w:eastAsiaTheme="minorHAnsi" w:hAnsi="Myriad Pro"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CF71C79"/>
    <w:multiLevelType w:val="hybridMultilevel"/>
    <w:tmpl w:val="7182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75589"/>
    <w:multiLevelType w:val="hybridMultilevel"/>
    <w:tmpl w:val="7FE059D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0" w15:restartNumberingAfterBreak="0">
    <w:nsid w:val="46626267"/>
    <w:multiLevelType w:val="hybridMultilevel"/>
    <w:tmpl w:val="CF72F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773975"/>
    <w:multiLevelType w:val="hybridMultilevel"/>
    <w:tmpl w:val="EDC67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66009F"/>
    <w:multiLevelType w:val="hybridMultilevel"/>
    <w:tmpl w:val="FA7C0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D65951"/>
    <w:multiLevelType w:val="multilevel"/>
    <w:tmpl w:val="8774E8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D7E1116"/>
    <w:multiLevelType w:val="hybridMultilevel"/>
    <w:tmpl w:val="B2A4B7AA"/>
    <w:lvl w:ilvl="0" w:tplc="66EA8704">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61203"/>
    <w:multiLevelType w:val="hybridMultilevel"/>
    <w:tmpl w:val="80C698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BB42DA"/>
    <w:multiLevelType w:val="hybridMultilevel"/>
    <w:tmpl w:val="C0B2139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71DE2815"/>
    <w:multiLevelType w:val="hybridMultilevel"/>
    <w:tmpl w:val="CDC45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1C5B91"/>
    <w:multiLevelType w:val="hybridMultilevel"/>
    <w:tmpl w:val="2DE05F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E03626"/>
    <w:multiLevelType w:val="hybridMultilevel"/>
    <w:tmpl w:val="02F016D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79E05CE7"/>
    <w:multiLevelType w:val="hybridMultilevel"/>
    <w:tmpl w:val="1554B9C2"/>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31" w15:restartNumberingAfterBreak="0">
    <w:nsid w:val="7B431331"/>
    <w:multiLevelType w:val="hybridMultilevel"/>
    <w:tmpl w:val="03FA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74890"/>
    <w:multiLevelType w:val="hybridMultilevel"/>
    <w:tmpl w:val="18D2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F41DA"/>
    <w:multiLevelType w:val="hybridMultilevel"/>
    <w:tmpl w:val="D80CFA62"/>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5"/>
  </w:num>
  <w:num w:numId="20">
    <w:abstractNumId w:val="21"/>
  </w:num>
  <w:num w:numId="21">
    <w:abstractNumId w:val="27"/>
  </w:num>
  <w:num w:numId="22">
    <w:abstractNumId w:val="12"/>
  </w:num>
  <w:num w:numId="23">
    <w:abstractNumId w:val="28"/>
  </w:num>
  <w:num w:numId="24">
    <w:abstractNumId w:val="26"/>
  </w:num>
  <w:num w:numId="25">
    <w:abstractNumId w:val="22"/>
  </w:num>
  <w:num w:numId="2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4"/>
  </w:num>
  <w:num w:numId="28">
    <w:abstractNumId w:val="11"/>
  </w:num>
  <w:num w:numId="29">
    <w:abstractNumId w:val="19"/>
  </w:num>
  <w:num w:numId="30">
    <w:abstractNumId w:val="20"/>
  </w:num>
  <w:num w:numId="31">
    <w:abstractNumId w:val="15"/>
  </w:num>
  <w:num w:numId="32">
    <w:abstractNumId w:val="17"/>
  </w:num>
  <w:num w:numId="33">
    <w:abstractNumId w:val="11"/>
  </w:num>
  <w:num w:numId="34">
    <w:abstractNumId w:val="11"/>
  </w:num>
  <w:num w:numId="35">
    <w:abstractNumId w:val="18"/>
  </w:num>
  <w:num w:numId="36">
    <w:abstractNumId w:val="31"/>
  </w:num>
  <w:num w:numId="37">
    <w:abstractNumId w:val="32"/>
  </w:num>
  <w:num w:numId="3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Santarossa">
    <w15:presenceInfo w15:providerId="AD" w15:userId="S-1-5-21-4085321322-2855655751-576837326-6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08"/>
    <w:rsid w:val="00016976"/>
    <w:rsid w:val="00076F7B"/>
    <w:rsid w:val="00083B58"/>
    <w:rsid w:val="00085726"/>
    <w:rsid w:val="000C6231"/>
    <w:rsid w:val="000F004A"/>
    <w:rsid w:val="000F4575"/>
    <w:rsid w:val="0014538A"/>
    <w:rsid w:val="002460BA"/>
    <w:rsid w:val="002C6730"/>
    <w:rsid w:val="00316859"/>
    <w:rsid w:val="0032775D"/>
    <w:rsid w:val="00343B9D"/>
    <w:rsid w:val="003E5CB8"/>
    <w:rsid w:val="003E5EFF"/>
    <w:rsid w:val="003F2714"/>
    <w:rsid w:val="003F2B80"/>
    <w:rsid w:val="00405966"/>
    <w:rsid w:val="00437812"/>
    <w:rsid w:val="00484B11"/>
    <w:rsid w:val="004858BB"/>
    <w:rsid w:val="004B4E84"/>
    <w:rsid w:val="00584085"/>
    <w:rsid w:val="005C05D9"/>
    <w:rsid w:val="005F7F5F"/>
    <w:rsid w:val="006D41F0"/>
    <w:rsid w:val="006E1AB7"/>
    <w:rsid w:val="006E4A7F"/>
    <w:rsid w:val="00714A41"/>
    <w:rsid w:val="00753A90"/>
    <w:rsid w:val="007803D2"/>
    <w:rsid w:val="007A281B"/>
    <w:rsid w:val="007F0C51"/>
    <w:rsid w:val="008223CF"/>
    <w:rsid w:val="00850731"/>
    <w:rsid w:val="00886FA5"/>
    <w:rsid w:val="00891AE0"/>
    <w:rsid w:val="008D0823"/>
    <w:rsid w:val="00902448"/>
    <w:rsid w:val="00917230"/>
    <w:rsid w:val="0097055A"/>
    <w:rsid w:val="009E5B44"/>
    <w:rsid w:val="00A37EB3"/>
    <w:rsid w:val="00A47E48"/>
    <w:rsid w:val="00A55B30"/>
    <w:rsid w:val="00A61D52"/>
    <w:rsid w:val="00A7027B"/>
    <w:rsid w:val="00B857B7"/>
    <w:rsid w:val="00B939F7"/>
    <w:rsid w:val="00BA7D5F"/>
    <w:rsid w:val="00BE40A6"/>
    <w:rsid w:val="00C158B3"/>
    <w:rsid w:val="00C25857"/>
    <w:rsid w:val="00C62FA3"/>
    <w:rsid w:val="00C829A6"/>
    <w:rsid w:val="00CA0525"/>
    <w:rsid w:val="00CD2608"/>
    <w:rsid w:val="00CD5BF4"/>
    <w:rsid w:val="00D05155"/>
    <w:rsid w:val="00D56DBF"/>
    <w:rsid w:val="00D81C23"/>
    <w:rsid w:val="00D8540E"/>
    <w:rsid w:val="00D93986"/>
    <w:rsid w:val="00DB370B"/>
    <w:rsid w:val="00DC6BF5"/>
    <w:rsid w:val="00E12C8C"/>
    <w:rsid w:val="00E200AC"/>
    <w:rsid w:val="00E40F60"/>
    <w:rsid w:val="00E61C62"/>
    <w:rsid w:val="00ED6F1A"/>
    <w:rsid w:val="00EE2A47"/>
    <w:rsid w:val="00F072E3"/>
    <w:rsid w:val="00F30A99"/>
    <w:rsid w:val="00F8711A"/>
    <w:rsid w:val="00FA5FC5"/>
    <w:rsid w:val="00FB3267"/>
    <w:rsid w:val="00FC07E4"/>
    <w:rsid w:val="00FD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EB2EE"/>
  <w15:docId w15:val="{4634AC06-9963-495C-BA8B-C762E20A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B"/>
  </w:style>
  <w:style w:type="paragraph" w:styleId="Heading1">
    <w:name w:val="heading 1"/>
    <w:basedOn w:val="Normal"/>
    <w:next w:val="Normal"/>
    <w:link w:val="Heading1Char"/>
    <w:uiPriority w:val="9"/>
    <w:qFormat/>
    <w:rsid w:val="00DB370B"/>
    <w:pPr>
      <w:keepNext/>
      <w:keepLines/>
      <w:numPr>
        <w:numId w:val="4"/>
      </w:numPr>
      <w:spacing w:before="240"/>
      <w:outlineLvl w:val="0"/>
    </w:pPr>
    <w:rPr>
      <w:rFonts w:eastAsiaTheme="majorEastAsia" w:cstheme="majorBidi"/>
      <w:color w:val="001489"/>
      <w:sz w:val="32"/>
      <w:szCs w:val="32"/>
    </w:rPr>
  </w:style>
  <w:style w:type="paragraph" w:styleId="Heading2">
    <w:name w:val="heading 2"/>
    <w:basedOn w:val="Normal"/>
    <w:next w:val="Normal"/>
    <w:link w:val="Heading2Char"/>
    <w:uiPriority w:val="9"/>
    <w:semiHidden/>
    <w:unhideWhenUsed/>
    <w:qFormat/>
    <w:rsid w:val="00DB370B"/>
    <w:pPr>
      <w:keepNext/>
      <w:keepLines/>
      <w:numPr>
        <w:ilvl w:val="1"/>
        <w:numId w:val="4"/>
      </w:numPr>
      <w:spacing w:before="40"/>
      <w:outlineLvl w:val="1"/>
    </w:pPr>
    <w:rPr>
      <w:rFonts w:eastAsiaTheme="majorEastAsia" w:cstheme="majorBidi"/>
      <w:color w:val="001489"/>
      <w:sz w:val="26"/>
      <w:szCs w:val="26"/>
    </w:rPr>
  </w:style>
  <w:style w:type="paragraph" w:styleId="Heading3">
    <w:name w:val="heading 3"/>
    <w:basedOn w:val="Normal"/>
    <w:next w:val="Normal"/>
    <w:link w:val="Heading3Char"/>
    <w:uiPriority w:val="9"/>
    <w:semiHidden/>
    <w:unhideWhenUsed/>
    <w:qFormat/>
    <w:rsid w:val="00DB370B"/>
    <w:pPr>
      <w:keepNext/>
      <w:keepLines/>
      <w:numPr>
        <w:ilvl w:val="2"/>
        <w:numId w:val="4"/>
      </w:numPr>
      <w:spacing w:before="40"/>
      <w:outlineLvl w:val="2"/>
    </w:pPr>
    <w:rPr>
      <w:rFonts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70B"/>
    <w:pPr>
      <w:keepNext/>
      <w:keepLines/>
      <w:numPr>
        <w:ilvl w:val="3"/>
        <w:numId w:val="4"/>
      </w:numPr>
      <w:spacing w:before="40"/>
      <w:outlineLvl w:val="3"/>
    </w:pPr>
    <w:rPr>
      <w:rFonts w:eastAsiaTheme="majorEastAsia" w:cstheme="majorBidi"/>
      <w:i/>
      <w:iCs/>
      <w:color w:val="538135" w:themeColor="accent6" w:themeShade="BF"/>
    </w:rPr>
  </w:style>
  <w:style w:type="paragraph" w:styleId="Heading5">
    <w:name w:val="heading 5"/>
    <w:basedOn w:val="Normal"/>
    <w:next w:val="Normal"/>
    <w:link w:val="Heading5Char"/>
    <w:uiPriority w:val="9"/>
    <w:semiHidden/>
    <w:unhideWhenUsed/>
    <w:qFormat/>
    <w:rsid w:val="00DB370B"/>
    <w:pPr>
      <w:keepNext/>
      <w:keepLines/>
      <w:numPr>
        <w:ilvl w:val="4"/>
        <w:numId w:val="4"/>
      </w:numPr>
      <w:spacing w:before="40"/>
      <w:outlineLvl w:val="4"/>
    </w:pPr>
    <w:rPr>
      <w:rFonts w:eastAsiaTheme="majorEastAsia" w:cstheme="majorBidi"/>
      <w:color w:val="001489"/>
    </w:rPr>
  </w:style>
  <w:style w:type="paragraph" w:styleId="Heading6">
    <w:name w:val="heading 6"/>
    <w:basedOn w:val="Normal"/>
    <w:next w:val="Normal"/>
    <w:link w:val="Heading6Char"/>
    <w:uiPriority w:val="9"/>
    <w:semiHidden/>
    <w:unhideWhenUsed/>
    <w:qFormat/>
    <w:rsid w:val="00DB370B"/>
    <w:pPr>
      <w:keepNext/>
      <w:keepLines/>
      <w:numPr>
        <w:ilvl w:val="5"/>
        <w:numId w:val="4"/>
      </w:numPr>
      <w:spacing w:before="40"/>
      <w:outlineLvl w:val="5"/>
    </w:pPr>
    <w:rPr>
      <w:rFonts w:eastAsiaTheme="majorEastAsia" w:cstheme="majorBidi"/>
      <w:color w:val="001489"/>
    </w:rPr>
  </w:style>
  <w:style w:type="paragraph" w:styleId="Heading7">
    <w:name w:val="heading 7"/>
    <w:basedOn w:val="Normal"/>
    <w:next w:val="Normal"/>
    <w:link w:val="Heading7Char"/>
    <w:uiPriority w:val="9"/>
    <w:semiHidden/>
    <w:unhideWhenUsed/>
    <w:qFormat/>
    <w:rsid w:val="00DB370B"/>
    <w:pPr>
      <w:keepNext/>
      <w:keepLines/>
      <w:numPr>
        <w:ilvl w:val="6"/>
        <w:numId w:val="4"/>
      </w:numPr>
      <w:spacing w:before="40"/>
      <w:outlineLvl w:val="6"/>
    </w:pPr>
    <w:rPr>
      <w:rFonts w:eastAsiaTheme="majorEastAsia" w:cstheme="majorBidi"/>
      <w:i/>
      <w:iCs/>
      <w:color w:val="001489"/>
    </w:rPr>
  </w:style>
  <w:style w:type="paragraph" w:styleId="Heading8">
    <w:name w:val="heading 8"/>
    <w:basedOn w:val="Normal"/>
    <w:next w:val="Normal"/>
    <w:link w:val="Heading8Char"/>
    <w:uiPriority w:val="9"/>
    <w:semiHidden/>
    <w:unhideWhenUsed/>
    <w:qFormat/>
    <w:rsid w:val="00DB370B"/>
    <w:pPr>
      <w:keepNext/>
      <w:keepLines/>
      <w:numPr>
        <w:ilvl w:val="7"/>
        <w:numId w:val="4"/>
      </w:numPr>
      <w:spacing w:before="40"/>
      <w:outlineLvl w:val="7"/>
    </w:pPr>
    <w:rPr>
      <w:rFonts w:eastAsiaTheme="majorEastAsia" w:cstheme="majorBidi"/>
      <w:color w:val="272727" w:themeColor="text1" w:themeTint="D8"/>
      <w:sz w:val="20"/>
      <w:szCs w:val="21"/>
    </w:rPr>
  </w:style>
  <w:style w:type="paragraph" w:styleId="Heading9">
    <w:name w:val="heading 9"/>
    <w:basedOn w:val="Normal"/>
    <w:next w:val="Normal"/>
    <w:link w:val="Heading9Char"/>
    <w:uiPriority w:val="9"/>
    <w:semiHidden/>
    <w:unhideWhenUsed/>
    <w:qFormat/>
    <w:rsid w:val="00DB370B"/>
    <w:pPr>
      <w:keepNext/>
      <w:keepLines/>
      <w:numPr>
        <w:ilvl w:val="8"/>
        <w:numId w:val="4"/>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08"/>
    <w:pPr>
      <w:tabs>
        <w:tab w:val="center" w:pos="4680"/>
        <w:tab w:val="right" w:pos="9360"/>
      </w:tabs>
    </w:pPr>
  </w:style>
  <w:style w:type="character" w:customStyle="1" w:styleId="HeaderChar">
    <w:name w:val="Header Char"/>
    <w:basedOn w:val="DefaultParagraphFont"/>
    <w:link w:val="Header"/>
    <w:uiPriority w:val="99"/>
    <w:rsid w:val="00CD2608"/>
  </w:style>
  <w:style w:type="paragraph" w:styleId="Footer">
    <w:name w:val="footer"/>
    <w:basedOn w:val="Normal"/>
    <w:link w:val="FooterChar"/>
    <w:uiPriority w:val="99"/>
    <w:unhideWhenUsed/>
    <w:rsid w:val="00CD2608"/>
    <w:pPr>
      <w:tabs>
        <w:tab w:val="center" w:pos="4680"/>
        <w:tab w:val="right" w:pos="9360"/>
      </w:tabs>
    </w:pPr>
  </w:style>
  <w:style w:type="character" w:customStyle="1" w:styleId="FooterChar">
    <w:name w:val="Footer Char"/>
    <w:basedOn w:val="DefaultParagraphFont"/>
    <w:link w:val="Footer"/>
    <w:uiPriority w:val="99"/>
    <w:rsid w:val="00CD2608"/>
  </w:style>
  <w:style w:type="paragraph" w:styleId="NoSpacing">
    <w:name w:val="No Spacing"/>
    <w:link w:val="NoSpacingChar"/>
    <w:uiPriority w:val="1"/>
    <w:qFormat/>
    <w:rsid w:val="00902448"/>
  </w:style>
  <w:style w:type="paragraph" w:styleId="Title">
    <w:name w:val="Title"/>
    <w:basedOn w:val="Normal"/>
    <w:next w:val="Normal"/>
    <w:link w:val="TitleChar"/>
    <w:uiPriority w:val="10"/>
    <w:qFormat/>
    <w:rsid w:val="00DB370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B370B"/>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DB370B"/>
    <w:rPr>
      <w:rFonts w:eastAsiaTheme="majorEastAsia" w:cstheme="majorBidi"/>
      <w:color w:val="001489"/>
      <w:sz w:val="32"/>
      <w:szCs w:val="32"/>
    </w:rPr>
  </w:style>
  <w:style w:type="character" w:customStyle="1" w:styleId="Heading2Char">
    <w:name w:val="Heading 2 Char"/>
    <w:basedOn w:val="DefaultParagraphFont"/>
    <w:link w:val="Heading2"/>
    <w:uiPriority w:val="9"/>
    <w:semiHidden/>
    <w:rsid w:val="00DB370B"/>
    <w:rPr>
      <w:rFonts w:eastAsiaTheme="majorEastAsia" w:cstheme="majorBidi"/>
      <w:color w:val="001489"/>
      <w:sz w:val="26"/>
      <w:szCs w:val="26"/>
    </w:rPr>
  </w:style>
  <w:style w:type="character" w:customStyle="1" w:styleId="Heading3Char">
    <w:name w:val="Heading 3 Char"/>
    <w:basedOn w:val="DefaultParagraphFont"/>
    <w:link w:val="Heading3"/>
    <w:uiPriority w:val="9"/>
    <w:semiHidden/>
    <w:rsid w:val="00DB370B"/>
    <w:rPr>
      <w:rFonts w:eastAsiaTheme="majorEastAsia"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70B"/>
    <w:rPr>
      <w:rFonts w:eastAsiaTheme="majorEastAsia" w:cstheme="majorBidi"/>
      <w:i/>
      <w:iCs/>
      <w:color w:val="538135" w:themeColor="accent6" w:themeShade="BF"/>
    </w:rPr>
  </w:style>
  <w:style w:type="character" w:customStyle="1" w:styleId="Heading5Char">
    <w:name w:val="Heading 5 Char"/>
    <w:basedOn w:val="DefaultParagraphFont"/>
    <w:link w:val="Heading5"/>
    <w:uiPriority w:val="9"/>
    <w:semiHidden/>
    <w:rsid w:val="00DB370B"/>
    <w:rPr>
      <w:rFonts w:eastAsiaTheme="majorEastAsia" w:cstheme="majorBidi"/>
      <w:color w:val="001489"/>
    </w:rPr>
  </w:style>
  <w:style w:type="character" w:customStyle="1" w:styleId="Heading6Char">
    <w:name w:val="Heading 6 Char"/>
    <w:basedOn w:val="DefaultParagraphFont"/>
    <w:link w:val="Heading6"/>
    <w:uiPriority w:val="9"/>
    <w:semiHidden/>
    <w:rsid w:val="00DB370B"/>
    <w:rPr>
      <w:rFonts w:eastAsiaTheme="majorEastAsia" w:cstheme="majorBidi"/>
      <w:color w:val="001489"/>
    </w:rPr>
  </w:style>
  <w:style w:type="character" w:customStyle="1" w:styleId="Heading7Char">
    <w:name w:val="Heading 7 Char"/>
    <w:basedOn w:val="DefaultParagraphFont"/>
    <w:link w:val="Heading7"/>
    <w:uiPriority w:val="9"/>
    <w:semiHidden/>
    <w:rsid w:val="00DB370B"/>
    <w:rPr>
      <w:rFonts w:eastAsiaTheme="majorEastAsia" w:cstheme="majorBidi"/>
      <w:i/>
      <w:iCs/>
      <w:color w:val="001489"/>
    </w:rPr>
  </w:style>
  <w:style w:type="character" w:customStyle="1" w:styleId="Heading8Char">
    <w:name w:val="Heading 8 Char"/>
    <w:basedOn w:val="DefaultParagraphFont"/>
    <w:link w:val="Heading8"/>
    <w:uiPriority w:val="9"/>
    <w:semiHidden/>
    <w:rsid w:val="00DB370B"/>
    <w:rPr>
      <w:rFonts w:eastAsiaTheme="majorEastAsia"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DB370B"/>
    <w:rPr>
      <w:rFonts w:eastAsiaTheme="majorEastAsia" w:cstheme="majorBidi"/>
      <w:i/>
      <w:iCs/>
      <w:color w:val="272727" w:themeColor="text1" w:themeTint="D8"/>
      <w:sz w:val="21"/>
      <w:szCs w:val="21"/>
    </w:rPr>
  </w:style>
  <w:style w:type="paragraph" w:styleId="Subtitle">
    <w:name w:val="Subtitle"/>
    <w:basedOn w:val="Normal"/>
    <w:next w:val="Normal"/>
    <w:link w:val="SubtitleChar"/>
    <w:uiPriority w:val="11"/>
    <w:qFormat/>
    <w:rsid w:val="00DB37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70B"/>
    <w:rPr>
      <w:rFonts w:eastAsiaTheme="minorEastAsia"/>
      <w:color w:val="5A5A5A" w:themeColor="text1" w:themeTint="A5"/>
      <w:spacing w:val="15"/>
    </w:rPr>
  </w:style>
  <w:style w:type="character" w:styleId="SubtleEmphasis">
    <w:name w:val="Subtle Emphasis"/>
    <w:basedOn w:val="DefaultParagraphFont"/>
    <w:uiPriority w:val="19"/>
    <w:qFormat/>
    <w:rsid w:val="00DB370B"/>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DB370B"/>
    <w:pPr>
      <w:pBdr>
        <w:top w:val="single" w:sz="4" w:space="10" w:color="5B9BD5" w:themeColor="accent1"/>
        <w:bottom w:val="single" w:sz="4" w:space="10" w:color="5B9BD5" w:themeColor="accent1"/>
      </w:pBdr>
      <w:spacing w:before="360" w:after="360"/>
      <w:ind w:left="864" w:right="864"/>
      <w:jc w:val="center"/>
    </w:pPr>
    <w:rPr>
      <w:i/>
      <w:iCs/>
      <w:color w:val="001489"/>
    </w:rPr>
  </w:style>
  <w:style w:type="character" w:customStyle="1" w:styleId="IntenseQuoteChar">
    <w:name w:val="Intense Quote Char"/>
    <w:basedOn w:val="DefaultParagraphFont"/>
    <w:link w:val="IntenseQuote"/>
    <w:uiPriority w:val="30"/>
    <w:rsid w:val="00DB370B"/>
    <w:rPr>
      <w:i/>
      <w:iCs/>
      <w:color w:val="001489"/>
    </w:rPr>
  </w:style>
  <w:style w:type="character" w:styleId="SubtleReference">
    <w:name w:val="Subtle Reference"/>
    <w:basedOn w:val="DefaultParagraphFont"/>
    <w:uiPriority w:val="31"/>
    <w:qFormat/>
    <w:rsid w:val="00DB370B"/>
    <w:rPr>
      <w:rFonts w:ascii="Myriad Pro" w:hAnsi="Myriad Pro"/>
      <w:smallCaps/>
      <w:color w:val="5A5A5A" w:themeColor="text1" w:themeTint="A5"/>
      <w:sz w:val="24"/>
    </w:rPr>
  </w:style>
  <w:style w:type="character" w:styleId="IntenseReference">
    <w:name w:val="Intense Reference"/>
    <w:basedOn w:val="DefaultParagraphFont"/>
    <w:uiPriority w:val="32"/>
    <w:qFormat/>
    <w:rsid w:val="00DB370B"/>
    <w:rPr>
      <w:rFonts w:ascii="Myriad Pro" w:hAnsi="Myriad Pro"/>
      <w:b/>
      <w:bCs/>
      <w:smallCaps/>
      <w:color w:val="001489"/>
      <w:spacing w:val="5"/>
      <w:sz w:val="24"/>
    </w:rPr>
  </w:style>
  <w:style w:type="paragraph" w:styleId="TOCHeading">
    <w:name w:val="TOC Heading"/>
    <w:basedOn w:val="Heading1"/>
    <w:next w:val="Normal"/>
    <w:uiPriority w:val="39"/>
    <w:semiHidden/>
    <w:unhideWhenUsed/>
    <w:qFormat/>
    <w:rsid w:val="00DB370B"/>
    <w:pPr>
      <w:outlineLvl w:val="9"/>
    </w:pPr>
  </w:style>
  <w:style w:type="table" w:styleId="MediumList2">
    <w:name w:val="Medium Lis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DB370B"/>
    <w:rPr>
      <w:rFonts w:ascii="Tahoma" w:hAnsi="Tahoma" w:cs="Segoe UI"/>
      <w:sz w:val="18"/>
      <w:szCs w:val="18"/>
    </w:rPr>
  </w:style>
  <w:style w:type="character" w:customStyle="1" w:styleId="BalloonTextChar">
    <w:name w:val="Balloon Text Char"/>
    <w:basedOn w:val="DefaultParagraphFont"/>
    <w:link w:val="BalloonText"/>
    <w:uiPriority w:val="99"/>
    <w:semiHidden/>
    <w:rsid w:val="00DB370B"/>
    <w:rPr>
      <w:rFonts w:ascii="Tahoma" w:hAnsi="Tahoma" w:cs="Segoe UI"/>
      <w:sz w:val="18"/>
      <w:szCs w:val="18"/>
    </w:rPr>
  </w:style>
  <w:style w:type="paragraph" w:styleId="BlockText">
    <w:name w:val="Block Text"/>
    <w:basedOn w:val="Normal"/>
    <w:uiPriority w:val="99"/>
    <w:semiHidden/>
    <w:unhideWhenUsed/>
    <w:rsid w:val="00DB370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001489"/>
    </w:rPr>
  </w:style>
  <w:style w:type="paragraph" w:styleId="EnvelopeAddress">
    <w:name w:val="envelope address"/>
    <w:basedOn w:val="Normal"/>
    <w:uiPriority w:val="99"/>
    <w:semiHidden/>
    <w:unhideWhenUsed/>
    <w:rsid w:val="00DB370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B370B"/>
    <w:rPr>
      <w:rFonts w:eastAsiaTheme="majorEastAsia" w:cstheme="majorBidi"/>
      <w:sz w:val="20"/>
      <w:szCs w:val="20"/>
    </w:rPr>
  </w:style>
  <w:style w:type="paragraph" w:styleId="Index1">
    <w:name w:val="index 1"/>
    <w:basedOn w:val="Normal"/>
    <w:next w:val="Normal"/>
    <w:autoRedefine/>
    <w:uiPriority w:val="99"/>
    <w:semiHidden/>
    <w:unhideWhenUsed/>
    <w:rsid w:val="00DB370B"/>
    <w:pPr>
      <w:ind w:left="220" w:hanging="220"/>
    </w:pPr>
  </w:style>
  <w:style w:type="paragraph" w:styleId="IndexHeading">
    <w:name w:val="index heading"/>
    <w:basedOn w:val="Normal"/>
    <w:next w:val="Index1"/>
    <w:uiPriority w:val="99"/>
    <w:semiHidden/>
    <w:unhideWhenUsed/>
    <w:rsid w:val="00DB370B"/>
    <w:rPr>
      <w:rFonts w:eastAsiaTheme="majorEastAsia" w:cstheme="majorBidi"/>
      <w:b/>
      <w:bCs/>
    </w:rPr>
  </w:style>
  <w:style w:type="paragraph" w:styleId="MessageHeader">
    <w:name w:val="Message Header"/>
    <w:basedOn w:val="Normal"/>
    <w:link w:val="MessageHeaderChar"/>
    <w:uiPriority w:val="99"/>
    <w:semiHidden/>
    <w:unhideWhenUsed/>
    <w:rsid w:val="00DB37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B370B"/>
    <w:rPr>
      <w:rFonts w:eastAsiaTheme="majorEastAsia" w:cstheme="majorBidi"/>
      <w:sz w:val="24"/>
      <w:szCs w:val="24"/>
      <w:shd w:val="pct20" w:color="auto" w:fill="auto"/>
    </w:rPr>
  </w:style>
  <w:style w:type="paragraph" w:styleId="NormalWeb">
    <w:name w:val="Normal (Web)"/>
    <w:basedOn w:val="Normal"/>
    <w:uiPriority w:val="99"/>
    <w:unhideWhenUsed/>
    <w:rsid w:val="00DB370B"/>
    <w:rPr>
      <w:rFonts w:ascii="Tahoma" w:hAnsi="Tahoma" w:cs="Times New Roman"/>
      <w:sz w:val="24"/>
      <w:szCs w:val="24"/>
    </w:rPr>
  </w:style>
  <w:style w:type="paragraph" w:styleId="TOAHeading">
    <w:name w:val="toa heading"/>
    <w:basedOn w:val="Normal"/>
    <w:next w:val="Normal"/>
    <w:uiPriority w:val="99"/>
    <w:semiHidden/>
    <w:unhideWhenUsed/>
    <w:rsid w:val="00DB370B"/>
    <w:pPr>
      <w:spacing w:before="120"/>
    </w:pPr>
    <w:rPr>
      <w:rFonts w:eastAsiaTheme="majorEastAsia" w:cstheme="majorBidi"/>
      <w:b/>
      <w:bCs/>
      <w:sz w:val="24"/>
      <w:szCs w:val="24"/>
    </w:rPr>
  </w:style>
  <w:style w:type="paragraph" w:styleId="ListParagraph">
    <w:name w:val="List Paragraph"/>
    <w:basedOn w:val="Normal"/>
    <w:uiPriority w:val="34"/>
    <w:qFormat/>
    <w:rsid w:val="006E1AB7"/>
    <w:pPr>
      <w:ind w:left="720"/>
      <w:contextualSpacing/>
    </w:pPr>
    <w:rPr>
      <w:rFonts w:ascii="Times New Roman" w:eastAsia="Times New Roman" w:hAnsi="Times New Roman" w:cs="Times New Roman"/>
      <w:sz w:val="26"/>
      <w:szCs w:val="20"/>
    </w:rPr>
  </w:style>
  <w:style w:type="character" w:styleId="Hyperlink">
    <w:name w:val="Hyperlink"/>
    <w:basedOn w:val="DefaultParagraphFont"/>
    <w:uiPriority w:val="99"/>
    <w:unhideWhenUsed/>
    <w:rsid w:val="00343B9D"/>
    <w:rPr>
      <w:color w:val="0563C1" w:themeColor="hyperlink"/>
      <w:u w:val="single"/>
    </w:rPr>
  </w:style>
  <w:style w:type="character" w:styleId="FollowedHyperlink">
    <w:name w:val="FollowedHyperlink"/>
    <w:basedOn w:val="DefaultParagraphFont"/>
    <w:uiPriority w:val="99"/>
    <w:semiHidden/>
    <w:unhideWhenUsed/>
    <w:rsid w:val="00753A90"/>
    <w:rPr>
      <w:color w:val="954F72" w:themeColor="followedHyperlink"/>
      <w:u w:val="single"/>
    </w:rPr>
  </w:style>
  <w:style w:type="character" w:styleId="CommentReference">
    <w:name w:val="annotation reference"/>
    <w:basedOn w:val="DefaultParagraphFont"/>
    <w:uiPriority w:val="99"/>
    <w:semiHidden/>
    <w:unhideWhenUsed/>
    <w:rsid w:val="008223CF"/>
    <w:rPr>
      <w:sz w:val="16"/>
      <w:szCs w:val="16"/>
    </w:rPr>
  </w:style>
  <w:style w:type="paragraph" w:styleId="CommentText">
    <w:name w:val="annotation text"/>
    <w:basedOn w:val="Normal"/>
    <w:link w:val="CommentTextChar"/>
    <w:uiPriority w:val="99"/>
    <w:semiHidden/>
    <w:unhideWhenUsed/>
    <w:rsid w:val="008223CF"/>
    <w:rPr>
      <w:sz w:val="20"/>
      <w:szCs w:val="20"/>
    </w:rPr>
  </w:style>
  <w:style w:type="character" w:customStyle="1" w:styleId="CommentTextChar">
    <w:name w:val="Comment Text Char"/>
    <w:basedOn w:val="DefaultParagraphFont"/>
    <w:link w:val="CommentText"/>
    <w:uiPriority w:val="99"/>
    <w:semiHidden/>
    <w:rsid w:val="008223CF"/>
    <w:rPr>
      <w:sz w:val="20"/>
      <w:szCs w:val="20"/>
    </w:rPr>
  </w:style>
  <w:style w:type="paragraph" w:styleId="CommentSubject">
    <w:name w:val="annotation subject"/>
    <w:basedOn w:val="CommentText"/>
    <w:next w:val="CommentText"/>
    <w:link w:val="CommentSubjectChar"/>
    <w:uiPriority w:val="99"/>
    <w:semiHidden/>
    <w:unhideWhenUsed/>
    <w:rsid w:val="008223CF"/>
    <w:rPr>
      <w:b/>
      <w:bCs/>
    </w:rPr>
  </w:style>
  <w:style w:type="character" w:customStyle="1" w:styleId="CommentSubjectChar">
    <w:name w:val="Comment Subject Char"/>
    <w:basedOn w:val="CommentTextChar"/>
    <w:link w:val="CommentSubject"/>
    <w:uiPriority w:val="99"/>
    <w:semiHidden/>
    <w:rsid w:val="008223CF"/>
    <w:rPr>
      <w:b/>
      <w:bCs/>
      <w:sz w:val="20"/>
      <w:szCs w:val="20"/>
    </w:rPr>
  </w:style>
  <w:style w:type="character" w:customStyle="1" w:styleId="NoSpacingChar">
    <w:name w:val="No Spacing Char"/>
    <w:basedOn w:val="DefaultParagraphFont"/>
    <w:link w:val="NoSpacing"/>
    <w:uiPriority w:val="1"/>
    <w:rsid w:val="00A4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25095">
      <w:bodyDiv w:val="1"/>
      <w:marLeft w:val="0"/>
      <w:marRight w:val="0"/>
      <w:marTop w:val="0"/>
      <w:marBottom w:val="0"/>
      <w:divBdr>
        <w:top w:val="none" w:sz="0" w:space="0" w:color="auto"/>
        <w:left w:val="none" w:sz="0" w:space="0" w:color="auto"/>
        <w:bottom w:val="none" w:sz="0" w:space="0" w:color="auto"/>
        <w:right w:val="none" w:sz="0" w:space="0" w:color="auto"/>
      </w:divBdr>
    </w:div>
    <w:div w:id="1914856211">
      <w:bodyDiv w:val="1"/>
      <w:marLeft w:val="0"/>
      <w:marRight w:val="0"/>
      <w:marTop w:val="0"/>
      <w:marBottom w:val="0"/>
      <w:divBdr>
        <w:top w:val="none" w:sz="0" w:space="0" w:color="auto"/>
        <w:left w:val="none" w:sz="0" w:space="0" w:color="auto"/>
        <w:bottom w:val="none" w:sz="0" w:space="0" w:color="auto"/>
        <w:right w:val="none" w:sz="0" w:space="0" w:color="auto"/>
      </w:divBdr>
    </w:div>
    <w:div w:id="1928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advocacy@auma.ca"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ksantarossa\Desktop\Policing%20grant%20and%20expediture%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santarossa\Desktop\Policing%20grant%20and%20expeditur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Provincial</a:t>
            </a:r>
            <a:r>
              <a:rPr lang="en-US" sz="1400" baseline="0"/>
              <a:t> Policing Grants Compared to Municipal Policing Expenditures in Alberta</a:t>
            </a:r>
            <a:endParaRPr lang="en-US" sz="1400"/>
          </a:p>
        </c:rich>
      </c:tx>
      <c:layout/>
      <c:overlay val="0"/>
    </c:title>
    <c:autoTitleDeleted val="0"/>
    <c:plotArea>
      <c:layout/>
      <c:barChart>
        <c:barDir val="col"/>
        <c:grouping val="stacked"/>
        <c:varyColors val="0"/>
        <c:ser>
          <c:idx val="0"/>
          <c:order val="0"/>
          <c:tx>
            <c:strRef>
              <c:f>Sheet1!$B$14</c:f>
              <c:strCache>
                <c:ptCount val="1"/>
                <c:pt idx="0">
                  <c:v>Municipal Police Assistance Grant</c:v>
                </c:pt>
              </c:strCache>
            </c:strRef>
          </c:tx>
          <c:invertIfNegative val="0"/>
          <c:cat>
            <c:strRef>
              <c:f>Sheet1!$A$15:$A$23</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Sheet1!$B$15:$B$23</c:f>
              <c:numCache>
                <c:formatCode>General</c:formatCode>
                <c:ptCount val="9"/>
                <c:pt idx="0">
                  <c:v>45.454545454545453</c:v>
                </c:pt>
                <c:pt idx="1">
                  <c:v>45.454545454545453</c:v>
                </c:pt>
                <c:pt idx="2">
                  <c:v>45.454545454545453</c:v>
                </c:pt>
                <c:pt idx="3">
                  <c:v>45.454545454545453</c:v>
                </c:pt>
                <c:pt idx="4">
                  <c:v>45.454545454545453</c:v>
                </c:pt>
                <c:pt idx="5">
                  <c:v>45.454545454545453</c:v>
                </c:pt>
                <c:pt idx="6">
                  <c:v>52.597000000000001</c:v>
                </c:pt>
                <c:pt idx="7">
                  <c:v>52.652000000000001</c:v>
                </c:pt>
                <c:pt idx="8">
                  <c:v>55.981000000000002</c:v>
                </c:pt>
              </c:numCache>
            </c:numRef>
          </c:val>
        </c:ser>
        <c:ser>
          <c:idx val="1"/>
          <c:order val="1"/>
          <c:tx>
            <c:strRef>
              <c:f>Sheet1!$C$14</c:f>
              <c:strCache>
                <c:ptCount val="1"/>
                <c:pt idx="0">
                  <c:v>New Police Officer Grant</c:v>
                </c:pt>
              </c:strCache>
            </c:strRef>
          </c:tx>
          <c:invertIfNegative val="0"/>
          <c:cat>
            <c:strRef>
              <c:f>Sheet1!$A$15:$A$23</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Sheet1!$C$15:$C$23</c:f>
              <c:numCache>
                <c:formatCode>General</c:formatCode>
                <c:ptCount val="9"/>
                <c:pt idx="0">
                  <c:v>9.0909090909090917</c:v>
                </c:pt>
                <c:pt idx="1">
                  <c:v>18.181818181818183</c:v>
                </c:pt>
                <c:pt idx="2">
                  <c:v>27.272727272727273</c:v>
                </c:pt>
                <c:pt idx="3">
                  <c:v>27.272727272727273</c:v>
                </c:pt>
                <c:pt idx="4">
                  <c:v>27.272727272727273</c:v>
                </c:pt>
                <c:pt idx="5">
                  <c:v>27.272727272727273</c:v>
                </c:pt>
                <c:pt idx="6">
                  <c:v>30</c:v>
                </c:pt>
                <c:pt idx="7">
                  <c:v>30</c:v>
                </c:pt>
                <c:pt idx="8">
                  <c:v>30</c:v>
                </c:pt>
              </c:numCache>
            </c:numRef>
          </c:val>
        </c:ser>
        <c:dLbls>
          <c:showLegendKey val="0"/>
          <c:showVal val="0"/>
          <c:showCatName val="0"/>
          <c:showSerName val="0"/>
          <c:showPercent val="0"/>
          <c:showBubbleSize val="0"/>
        </c:dLbls>
        <c:gapWidth val="150"/>
        <c:overlap val="100"/>
        <c:axId val="279052360"/>
        <c:axId val="279053928"/>
      </c:barChart>
      <c:lineChart>
        <c:grouping val="standard"/>
        <c:varyColors val="0"/>
        <c:ser>
          <c:idx val="2"/>
          <c:order val="2"/>
          <c:tx>
            <c:strRef>
              <c:f>Sheet1!$D$14</c:f>
              <c:strCache>
                <c:ptCount val="1"/>
                <c:pt idx="0">
                  <c:v>Municipal Policing Expenditures</c:v>
                </c:pt>
              </c:strCache>
            </c:strRef>
          </c:tx>
          <c:marker>
            <c:symbol val="none"/>
          </c:marker>
          <c:cat>
            <c:strRef>
              <c:f>Sheet1!$A$15:$A$23</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Sheet1!$D$15:$D$23</c:f>
              <c:numCache>
                <c:formatCode>General</c:formatCode>
                <c:ptCount val="9"/>
                <c:pt idx="0">
                  <c:v>736.36363636363637</c:v>
                </c:pt>
                <c:pt idx="1">
                  <c:v>781.81818181818187</c:v>
                </c:pt>
                <c:pt idx="2">
                  <c:v>872.72727272727275</c:v>
                </c:pt>
                <c:pt idx="3">
                  <c:v>870.77800000000002</c:v>
                </c:pt>
                <c:pt idx="4">
                  <c:v>930.178</c:v>
                </c:pt>
                <c:pt idx="5">
                  <c:v>970.74099999999999</c:v>
                </c:pt>
                <c:pt idx="6">
                  <c:v>863.928</c:v>
                </c:pt>
                <c:pt idx="7">
                  <c:v>907.697</c:v>
                </c:pt>
              </c:numCache>
            </c:numRef>
          </c:val>
          <c:smooth val="0"/>
        </c:ser>
        <c:dLbls>
          <c:showLegendKey val="0"/>
          <c:showVal val="0"/>
          <c:showCatName val="0"/>
          <c:showSerName val="0"/>
          <c:showPercent val="0"/>
          <c:showBubbleSize val="0"/>
        </c:dLbls>
        <c:marker val="1"/>
        <c:smooth val="0"/>
        <c:axId val="279052360"/>
        <c:axId val="279053928"/>
      </c:lineChart>
      <c:catAx>
        <c:axId val="279052360"/>
        <c:scaling>
          <c:orientation val="minMax"/>
        </c:scaling>
        <c:delete val="0"/>
        <c:axPos val="b"/>
        <c:numFmt formatCode="General" sourceLinked="0"/>
        <c:majorTickMark val="out"/>
        <c:minorTickMark val="none"/>
        <c:tickLblPos val="nextTo"/>
        <c:crossAx val="279053928"/>
        <c:crosses val="autoZero"/>
        <c:auto val="1"/>
        <c:lblAlgn val="ctr"/>
        <c:lblOffset val="100"/>
        <c:noMultiLvlLbl val="0"/>
      </c:catAx>
      <c:valAx>
        <c:axId val="279053928"/>
        <c:scaling>
          <c:orientation val="minMax"/>
          <c:max val="1000"/>
        </c:scaling>
        <c:delete val="0"/>
        <c:axPos val="l"/>
        <c:majorGridlines/>
        <c:title>
          <c:tx>
            <c:rich>
              <a:bodyPr rot="-5400000" vert="horz"/>
              <a:lstStyle/>
              <a:p>
                <a:pPr>
                  <a:defRPr/>
                </a:pPr>
                <a:r>
                  <a:rPr lang="en-US"/>
                  <a:t>Millions of dollars</a:t>
                </a:r>
              </a:p>
            </c:rich>
          </c:tx>
          <c:layout/>
          <c:overlay val="0"/>
        </c:title>
        <c:numFmt formatCode="General" sourceLinked="1"/>
        <c:majorTickMark val="out"/>
        <c:minorTickMark val="none"/>
        <c:tickLblPos val="nextTo"/>
        <c:crossAx val="279052360"/>
        <c:crosses val="autoZero"/>
        <c:crossBetween val="between"/>
      </c:valAx>
      <c:spPr>
        <a:noFill/>
        <a:ln w="25400">
          <a:noFill/>
        </a:ln>
      </c:spPr>
    </c:plotArea>
    <c:legend>
      <c:legendPos val="b"/>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Canadian Crime Rates, 2016</a:t>
            </a:r>
          </a:p>
        </c:rich>
      </c:tx>
      <c:layout/>
      <c:overlay val="0"/>
    </c:title>
    <c:autoTitleDeleted val="0"/>
    <c:plotArea>
      <c:layout/>
      <c:barChart>
        <c:barDir val="col"/>
        <c:grouping val="clustered"/>
        <c:varyColors val="0"/>
        <c:ser>
          <c:idx val="0"/>
          <c:order val="0"/>
          <c:tx>
            <c:strRef>
              <c:f>'[Policing grant and expediture charts.xlsx]Sheet1'!$B$1</c:f>
              <c:strCache>
                <c:ptCount val="1"/>
                <c:pt idx="0">
                  <c:v>Violent Crime Rate</c:v>
                </c:pt>
              </c:strCache>
            </c:strRef>
          </c:tx>
          <c:invertIfNegative val="0"/>
          <c:cat>
            <c:strRef>
              <c:f>'[Policing grant and expediture charts.xlsx]Sheet1'!$A$2:$A$11</c:f>
              <c:strCache>
                <c:ptCount val="10"/>
                <c:pt idx="0">
                  <c:v>NL</c:v>
                </c:pt>
                <c:pt idx="1">
                  <c:v>PE</c:v>
                </c:pt>
                <c:pt idx="2">
                  <c:v>NS</c:v>
                </c:pt>
                <c:pt idx="3">
                  <c:v>NB</c:v>
                </c:pt>
                <c:pt idx="4">
                  <c:v>QC</c:v>
                </c:pt>
                <c:pt idx="5">
                  <c:v>ON</c:v>
                </c:pt>
                <c:pt idx="6">
                  <c:v>MB</c:v>
                </c:pt>
                <c:pt idx="7">
                  <c:v>SK</c:v>
                </c:pt>
                <c:pt idx="8">
                  <c:v>AB</c:v>
                </c:pt>
                <c:pt idx="9">
                  <c:v>BC</c:v>
                </c:pt>
              </c:strCache>
            </c:strRef>
          </c:cat>
          <c:val>
            <c:numRef>
              <c:f>'[Policing grant and expediture charts.xlsx]Sheet1'!$B$2:$B$11</c:f>
              <c:numCache>
                <c:formatCode>General</c:formatCode>
                <c:ptCount val="10"/>
                <c:pt idx="0">
                  <c:v>1324.42</c:v>
                </c:pt>
                <c:pt idx="1">
                  <c:v>785.74</c:v>
                </c:pt>
                <c:pt idx="2">
                  <c:v>1153.45</c:v>
                </c:pt>
                <c:pt idx="3">
                  <c:v>1176.56</c:v>
                </c:pt>
                <c:pt idx="4">
                  <c:v>950.41</c:v>
                </c:pt>
                <c:pt idx="5">
                  <c:v>789.91</c:v>
                </c:pt>
                <c:pt idx="6">
                  <c:v>1938.05</c:v>
                </c:pt>
                <c:pt idx="7">
                  <c:v>2027.58</c:v>
                </c:pt>
                <c:pt idx="8">
                  <c:v>1243.53</c:v>
                </c:pt>
                <c:pt idx="9">
                  <c:v>1139.3399999999999</c:v>
                </c:pt>
              </c:numCache>
            </c:numRef>
          </c:val>
        </c:ser>
        <c:ser>
          <c:idx val="1"/>
          <c:order val="1"/>
          <c:tx>
            <c:strRef>
              <c:f>'[Policing grant and expediture charts.xlsx]Sheet1'!$C$1</c:f>
              <c:strCache>
                <c:ptCount val="1"/>
                <c:pt idx="0">
                  <c:v>Property Crime Rate</c:v>
                </c:pt>
              </c:strCache>
            </c:strRef>
          </c:tx>
          <c:invertIfNegative val="0"/>
          <c:cat>
            <c:strRef>
              <c:f>'[Policing grant and expediture charts.xlsx]Sheet1'!$A$2:$A$11</c:f>
              <c:strCache>
                <c:ptCount val="10"/>
                <c:pt idx="0">
                  <c:v>NL</c:v>
                </c:pt>
                <c:pt idx="1">
                  <c:v>PE</c:v>
                </c:pt>
                <c:pt idx="2">
                  <c:v>NS</c:v>
                </c:pt>
                <c:pt idx="3">
                  <c:v>NB</c:v>
                </c:pt>
                <c:pt idx="4">
                  <c:v>QC</c:v>
                </c:pt>
                <c:pt idx="5">
                  <c:v>ON</c:v>
                </c:pt>
                <c:pt idx="6">
                  <c:v>MB</c:v>
                </c:pt>
                <c:pt idx="7">
                  <c:v>SK</c:v>
                </c:pt>
                <c:pt idx="8">
                  <c:v>AB</c:v>
                </c:pt>
                <c:pt idx="9">
                  <c:v>BC</c:v>
                </c:pt>
              </c:strCache>
            </c:strRef>
          </c:cat>
          <c:val>
            <c:numRef>
              <c:f>'[Policing grant and expediture charts.xlsx]Sheet1'!$C$2:$C$11</c:f>
              <c:numCache>
                <c:formatCode>General</c:formatCode>
                <c:ptCount val="10"/>
                <c:pt idx="0">
                  <c:v>3375.41</c:v>
                </c:pt>
                <c:pt idx="1">
                  <c:v>2916.9470000000001</c:v>
                </c:pt>
                <c:pt idx="2">
                  <c:v>2843.18</c:v>
                </c:pt>
                <c:pt idx="3">
                  <c:v>2696.16</c:v>
                </c:pt>
                <c:pt idx="4">
                  <c:v>1854.28</c:v>
                </c:pt>
                <c:pt idx="5">
                  <c:v>2286.89</c:v>
                </c:pt>
                <c:pt idx="6">
                  <c:v>5093.28</c:v>
                </c:pt>
                <c:pt idx="7">
                  <c:v>6553.36</c:v>
                </c:pt>
                <c:pt idx="8">
                  <c:v>5205.6499999999996</c:v>
                </c:pt>
                <c:pt idx="9">
                  <c:v>5001.4399999999996</c:v>
                </c:pt>
              </c:numCache>
            </c:numRef>
          </c:val>
        </c:ser>
        <c:dLbls>
          <c:showLegendKey val="0"/>
          <c:showVal val="0"/>
          <c:showCatName val="0"/>
          <c:showSerName val="0"/>
          <c:showPercent val="0"/>
          <c:showBubbleSize val="0"/>
        </c:dLbls>
        <c:gapWidth val="150"/>
        <c:axId val="279054320"/>
        <c:axId val="279050008"/>
      </c:barChart>
      <c:lineChart>
        <c:grouping val="standard"/>
        <c:varyColors val="0"/>
        <c:ser>
          <c:idx val="2"/>
          <c:order val="2"/>
          <c:tx>
            <c:strRef>
              <c:f>'[Policing grant and expediture charts.xlsx]Sheet1'!$D$1</c:f>
              <c:strCache>
                <c:ptCount val="1"/>
                <c:pt idx="0">
                  <c:v>Canadian Average Violent Crime Rate</c:v>
                </c:pt>
              </c:strCache>
            </c:strRef>
          </c:tx>
          <c:marker>
            <c:symbol val="none"/>
          </c:marker>
          <c:cat>
            <c:strRef>
              <c:f>'[Policing grant and expediture charts.xlsx]Sheet1'!$A$2:$A$11</c:f>
              <c:strCache>
                <c:ptCount val="10"/>
                <c:pt idx="0">
                  <c:v>NL</c:v>
                </c:pt>
                <c:pt idx="1">
                  <c:v>PE</c:v>
                </c:pt>
                <c:pt idx="2">
                  <c:v>NS</c:v>
                </c:pt>
                <c:pt idx="3">
                  <c:v>NB</c:v>
                </c:pt>
                <c:pt idx="4">
                  <c:v>QC</c:v>
                </c:pt>
                <c:pt idx="5">
                  <c:v>ON</c:v>
                </c:pt>
                <c:pt idx="6">
                  <c:v>MB</c:v>
                </c:pt>
                <c:pt idx="7">
                  <c:v>SK</c:v>
                </c:pt>
                <c:pt idx="8">
                  <c:v>AB</c:v>
                </c:pt>
                <c:pt idx="9">
                  <c:v>BC</c:v>
                </c:pt>
              </c:strCache>
            </c:strRef>
          </c:cat>
          <c:val>
            <c:numRef>
              <c:f>'[Policing grant and expediture charts.xlsx]Sheet1'!$D$2:$D$11</c:f>
              <c:numCache>
                <c:formatCode>General</c:formatCode>
                <c:ptCount val="10"/>
                <c:pt idx="0">
                  <c:v>1051.6199999999999</c:v>
                </c:pt>
                <c:pt idx="1">
                  <c:v>1051.6199999999999</c:v>
                </c:pt>
                <c:pt idx="2">
                  <c:v>1051.6199999999999</c:v>
                </c:pt>
                <c:pt idx="3">
                  <c:v>1051.6199999999999</c:v>
                </c:pt>
                <c:pt idx="4">
                  <c:v>1051.6199999999999</c:v>
                </c:pt>
                <c:pt idx="5">
                  <c:v>1051.6199999999999</c:v>
                </c:pt>
                <c:pt idx="6">
                  <c:v>1051.6199999999999</c:v>
                </c:pt>
                <c:pt idx="7">
                  <c:v>1051.6199999999999</c:v>
                </c:pt>
                <c:pt idx="8">
                  <c:v>1051.6199999999999</c:v>
                </c:pt>
                <c:pt idx="9">
                  <c:v>1051.6199999999999</c:v>
                </c:pt>
              </c:numCache>
            </c:numRef>
          </c:val>
          <c:smooth val="0"/>
        </c:ser>
        <c:ser>
          <c:idx val="3"/>
          <c:order val="3"/>
          <c:tx>
            <c:strRef>
              <c:f>'[Policing grant and expediture charts.xlsx]Sheet1'!$E$1</c:f>
              <c:strCache>
                <c:ptCount val="1"/>
                <c:pt idx="0">
                  <c:v>Canadian Average Property Crime Rate</c:v>
                </c:pt>
              </c:strCache>
            </c:strRef>
          </c:tx>
          <c:marker>
            <c:symbol val="none"/>
          </c:marker>
          <c:cat>
            <c:strRef>
              <c:f>'[Policing grant and expediture charts.xlsx]Sheet1'!$A$2:$A$11</c:f>
              <c:strCache>
                <c:ptCount val="10"/>
                <c:pt idx="0">
                  <c:v>NL</c:v>
                </c:pt>
                <c:pt idx="1">
                  <c:v>PE</c:v>
                </c:pt>
                <c:pt idx="2">
                  <c:v>NS</c:v>
                </c:pt>
                <c:pt idx="3">
                  <c:v>NB</c:v>
                </c:pt>
                <c:pt idx="4">
                  <c:v>QC</c:v>
                </c:pt>
                <c:pt idx="5">
                  <c:v>ON</c:v>
                </c:pt>
                <c:pt idx="6">
                  <c:v>MB</c:v>
                </c:pt>
                <c:pt idx="7">
                  <c:v>SK</c:v>
                </c:pt>
                <c:pt idx="8">
                  <c:v>AB</c:v>
                </c:pt>
                <c:pt idx="9">
                  <c:v>BC</c:v>
                </c:pt>
              </c:strCache>
            </c:strRef>
          </c:cat>
          <c:val>
            <c:numRef>
              <c:f>'[Policing grant and expediture charts.xlsx]Sheet1'!$E$2:$E$11</c:f>
              <c:numCache>
                <c:formatCode>General</c:formatCode>
                <c:ptCount val="10"/>
                <c:pt idx="0">
                  <c:v>3206.84</c:v>
                </c:pt>
                <c:pt idx="1">
                  <c:v>3206.84</c:v>
                </c:pt>
                <c:pt idx="2">
                  <c:v>3206.84</c:v>
                </c:pt>
                <c:pt idx="3">
                  <c:v>3206.84</c:v>
                </c:pt>
                <c:pt idx="4">
                  <c:v>3206.84</c:v>
                </c:pt>
                <c:pt idx="5">
                  <c:v>3206.84</c:v>
                </c:pt>
                <c:pt idx="6">
                  <c:v>3206.84</c:v>
                </c:pt>
                <c:pt idx="7">
                  <c:v>3206.84</c:v>
                </c:pt>
                <c:pt idx="8">
                  <c:v>3206.84</c:v>
                </c:pt>
                <c:pt idx="9">
                  <c:v>3206.84</c:v>
                </c:pt>
              </c:numCache>
            </c:numRef>
          </c:val>
          <c:smooth val="0"/>
        </c:ser>
        <c:dLbls>
          <c:showLegendKey val="0"/>
          <c:showVal val="0"/>
          <c:showCatName val="0"/>
          <c:showSerName val="0"/>
          <c:showPercent val="0"/>
          <c:showBubbleSize val="0"/>
        </c:dLbls>
        <c:marker val="1"/>
        <c:smooth val="0"/>
        <c:axId val="279054320"/>
        <c:axId val="279050008"/>
      </c:lineChart>
      <c:catAx>
        <c:axId val="279054320"/>
        <c:scaling>
          <c:orientation val="minMax"/>
        </c:scaling>
        <c:delete val="0"/>
        <c:axPos val="b"/>
        <c:numFmt formatCode="General" sourceLinked="0"/>
        <c:majorTickMark val="out"/>
        <c:minorTickMark val="none"/>
        <c:tickLblPos val="nextTo"/>
        <c:crossAx val="279050008"/>
        <c:crosses val="autoZero"/>
        <c:auto val="1"/>
        <c:lblAlgn val="ctr"/>
        <c:lblOffset val="100"/>
        <c:noMultiLvlLbl val="0"/>
      </c:catAx>
      <c:valAx>
        <c:axId val="279050008"/>
        <c:scaling>
          <c:orientation val="minMax"/>
        </c:scaling>
        <c:delete val="0"/>
        <c:axPos val="l"/>
        <c:majorGridlines/>
        <c:title>
          <c:tx>
            <c:rich>
              <a:bodyPr rot="-5400000" vert="horz"/>
              <a:lstStyle/>
              <a:p>
                <a:pPr>
                  <a:defRPr/>
                </a:pPr>
                <a:r>
                  <a:rPr lang="en-US"/>
                  <a:t>Incicents</a:t>
                </a:r>
                <a:r>
                  <a:rPr lang="en-US" baseline="0"/>
                  <a:t> per 100,000 population</a:t>
                </a:r>
                <a:endParaRPr lang="en-US"/>
              </a:p>
            </c:rich>
          </c:tx>
          <c:layout/>
          <c:overlay val="0"/>
        </c:title>
        <c:numFmt formatCode="General" sourceLinked="1"/>
        <c:majorTickMark val="out"/>
        <c:minorTickMark val="none"/>
        <c:tickLblPos val="nextTo"/>
        <c:crossAx val="27905432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d98ef7d8-f65c-4d7f-942f-c19caecdeea3">2018</Year>
    <Communication_x0020_Type xmlns="d98ef7d8-f65c-4d7f-942f-c19caecdeea3">Weekly Digest</Communication_x0020_Type>
    <Comments xmlns="d98ef7d8-f65c-4d7f-942f-c19caecdeea3" xsi:nil="true"/>
    <Date xmlns="d98ef7d8-f65c-4d7f-942f-c19caecdeea3">2018-01-31T07:00:00+00:00</Date>
    <Com_x0020_Type xmlns="d98ef7d8-f65c-4d7f-942f-c19caecdee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5CB63065F7D24688AEF769F4B8D403" ma:contentTypeVersion="18" ma:contentTypeDescription="Create a new document." ma:contentTypeScope="" ma:versionID="7b7cffd9a49e5728fcc3aa7f86bdcbbb">
  <xsd:schema xmlns:xsd="http://www.w3.org/2001/XMLSchema" xmlns:xs="http://www.w3.org/2001/XMLSchema" xmlns:p="http://schemas.microsoft.com/office/2006/metadata/properties" xmlns:ns2="d98ef7d8-f65c-4d7f-942f-c19caecdeea3" targetNamespace="http://schemas.microsoft.com/office/2006/metadata/properties" ma:root="true" ma:fieldsID="03380d48e3b9235038e30a15787a0147" ns2:_="">
    <xsd:import namespace="d98ef7d8-f65c-4d7f-942f-c19caecdeea3"/>
    <xsd:element name="properties">
      <xsd:complexType>
        <xsd:sequence>
          <xsd:element name="documentManagement">
            <xsd:complexType>
              <xsd:all>
                <xsd:element ref="ns2:Communication_x0020_Type"/>
                <xsd:element ref="ns2:Com_x0020_Type" minOccurs="0"/>
                <xsd:element ref="ns2:Date"/>
                <xsd:element ref="ns2:Year"/>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f7d8-f65c-4d7f-942f-c19caecdeea3" elementFormDefault="qualified">
    <xsd:import namespace="http://schemas.microsoft.com/office/2006/documentManagement/types"/>
    <xsd:import namespace="http://schemas.microsoft.com/office/infopath/2007/PartnerControls"/>
    <xsd:element name="Communication_x0020_Type" ma:index="8" ma:displayName="Communication Type" ma:format="Dropdown" ma:internalName="Communication_x0020_Type">
      <xsd:simpleType>
        <xsd:restriction base="dms:Choice">
          <xsd:enumeration value="Media"/>
          <xsd:enumeration value="Weekly Digest"/>
          <xsd:enumeration value="BTL"/>
          <xsd:enumeration value="Plans"/>
          <xsd:enumeration value="President’s page"/>
          <xsd:enumeration value="MLA Newsletter"/>
          <xsd:enumeration value="Notes to Council"/>
          <xsd:enumeration value="Issues Management"/>
        </xsd:restriction>
      </xsd:simpleType>
    </xsd:element>
    <xsd:element name="Com_x0020_Type" ma:index="9" nillable="true" ma:displayName="Com Type" ma:internalName="Com_x0020_Type">
      <xsd:simpleType>
        <xsd:restriction base="dms:Text">
          <xsd:maxLength value="100"/>
        </xsd:restriction>
      </xsd:simpleType>
    </xsd:element>
    <xsd:element name="Date" ma:index="10" ma:displayName="Date" ma:format="DateOnly" ma:internalName="Date">
      <xsd:simpleType>
        <xsd:restriction base="dms:DateTime"/>
      </xsd:simpleType>
    </xsd:element>
    <xsd:element name="Year" ma:index="12"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Comments" ma:index="15"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1A21F-C16D-4587-8D3B-6085BCA0DD04}"/>
</file>

<file path=customXml/itemProps2.xml><?xml version="1.0" encoding="utf-8"?>
<ds:datastoreItem xmlns:ds="http://schemas.openxmlformats.org/officeDocument/2006/customXml" ds:itemID="{FC765175-A1B3-4361-B048-670318CDBD64}"/>
</file>

<file path=customXml/itemProps3.xml><?xml version="1.0" encoding="utf-8"?>
<ds:datastoreItem xmlns:ds="http://schemas.openxmlformats.org/officeDocument/2006/customXml" ds:itemID="{C90317C2-477D-4B3A-AD65-84E23387AE6B}"/>
</file>

<file path=customXml/itemProps4.xml><?xml version="1.0" encoding="utf-8"?>
<ds:datastoreItem xmlns:ds="http://schemas.openxmlformats.org/officeDocument/2006/customXml" ds:itemID="{1BA75E98-1E8B-433B-8656-52CC75D441B5}"/>
</file>

<file path=docProps/app.xml><?xml version="1.0" encoding="utf-8"?>
<Properties xmlns="http://schemas.openxmlformats.org/officeDocument/2006/extended-properties" xmlns:vt="http://schemas.openxmlformats.org/officeDocument/2006/docPropsVTypes">
  <Template>Normal</Template>
  <TotalTime>48</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 Stackhouse</dc:creator>
  <cp:lastModifiedBy>Kelly Santarossa</cp:lastModifiedBy>
  <cp:revision>9</cp:revision>
  <cp:lastPrinted>2017-06-05T19:28:00Z</cp:lastPrinted>
  <dcterms:created xsi:type="dcterms:W3CDTF">2017-10-05T17:36:00Z</dcterms:created>
  <dcterms:modified xsi:type="dcterms:W3CDTF">2018-01-18T20:22:00Z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0x010100695CB63065F7D24688AEF769F4B8D403</vt:lpwstr>
  </property>
</Properties>
</file>